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5644FD">
      <w:pPr>
        <w:spacing w:after="0"/>
        <w:jc w:val="center"/>
        <w:rPr>
          <w:rFonts w:ascii="Verdana" w:hAnsi="Verdana"/>
          <w:b/>
          <w:bCs/>
          <w:sz w:val="20"/>
          <w:szCs w:val="20"/>
        </w:rPr>
      </w:pPr>
      <w:r w:rsidRPr="00CF0120">
        <w:rPr>
          <w:rFonts w:ascii="Verdana" w:hAnsi="Verdana"/>
          <w:b/>
          <w:bCs/>
          <w:sz w:val="20"/>
          <w:szCs w:val="20"/>
        </w:rPr>
        <w:t>PARTE 1</w:t>
      </w:r>
    </w:p>
    <w:p w14:paraId="575A7C9E" w14:textId="79476204" w:rsidR="005644FD" w:rsidRDefault="00A64CAA" w:rsidP="005644FD">
      <w:pPr>
        <w:spacing w:after="0"/>
        <w:jc w:val="center"/>
        <w:rPr>
          <w:rFonts w:ascii="Verdana" w:hAnsi="Verdana"/>
          <w:b/>
          <w:bCs/>
          <w:sz w:val="20"/>
          <w:szCs w:val="20"/>
        </w:rPr>
      </w:pPr>
      <w:r w:rsidRPr="00CF0120">
        <w:rPr>
          <w:rFonts w:ascii="Verdana" w:hAnsi="Verdana"/>
          <w:b/>
          <w:bCs/>
          <w:sz w:val="20"/>
          <w:szCs w:val="20"/>
        </w:rPr>
        <w:t>ADMINISTRACIÓN DE RIESGOS</w:t>
      </w:r>
    </w:p>
    <w:p w14:paraId="7FBC53FB" w14:textId="77777777" w:rsidR="005644FD" w:rsidRDefault="005644FD" w:rsidP="005644FD">
      <w:pPr>
        <w:spacing w:after="0"/>
        <w:jc w:val="center"/>
        <w:rPr>
          <w:rFonts w:ascii="Verdana" w:hAnsi="Verdana"/>
          <w:b/>
          <w:bCs/>
          <w:sz w:val="20"/>
          <w:szCs w:val="20"/>
        </w:rPr>
      </w:pPr>
    </w:p>
    <w:p w14:paraId="3CCDA678" w14:textId="21D083BC" w:rsidR="00A64CAA" w:rsidRPr="00CF0120" w:rsidRDefault="00A64CAA" w:rsidP="005644FD">
      <w:pPr>
        <w:spacing w:after="0"/>
        <w:jc w:val="center"/>
        <w:rPr>
          <w:rFonts w:ascii="Verdana" w:hAnsi="Verdana"/>
          <w:b/>
          <w:bCs/>
          <w:sz w:val="20"/>
          <w:szCs w:val="20"/>
        </w:rPr>
      </w:pPr>
      <w:r w:rsidRPr="00CF0120">
        <w:rPr>
          <w:rFonts w:ascii="Verdana" w:hAnsi="Verdana"/>
          <w:b/>
          <w:bCs/>
          <w:sz w:val="20"/>
          <w:szCs w:val="20"/>
        </w:rPr>
        <w:t>CAPÍTULO 1</w:t>
      </w:r>
    </w:p>
    <w:p w14:paraId="38781A38" w14:textId="3AE2A276" w:rsidR="00A64CAA" w:rsidRPr="00CF0120" w:rsidRDefault="00A64CAA" w:rsidP="005644FD">
      <w:pPr>
        <w:spacing w:after="0"/>
        <w:jc w:val="center"/>
        <w:rPr>
          <w:rFonts w:ascii="Verdana" w:hAnsi="Verdana"/>
          <w:b/>
          <w:bCs/>
          <w:sz w:val="20"/>
          <w:szCs w:val="20"/>
        </w:rPr>
      </w:pPr>
      <w:r w:rsidRPr="00CF0120">
        <w:rPr>
          <w:rFonts w:ascii="Verdana" w:hAnsi="Verdana"/>
          <w:b/>
          <w:bCs/>
          <w:sz w:val="20"/>
          <w:szCs w:val="20"/>
        </w:rPr>
        <w:t>SISTEMA INTEGRAL DE ADMINISTRACIÓN DE RIESGOS</w:t>
      </w:r>
    </w:p>
    <w:p w14:paraId="72929AE6" w14:textId="0F591069" w:rsidR="00A64CAA" w:rsidRPr="00CF0120" w:rsidRDefault="00A64CAA" w:rsidP="00A64CAA">
      <w:pPr>
        <w:jc w:val="center"/>
        <w:rPr>
          <w:rFonts w:ascii="Verdana" w:hAnsi="Verdana"/>
          <w:b/>
          <w:bCs/>
          <w:sz w:val="20"/>
          <w:szCs w:val="20"/>
        </w:rPr>
      </w:pPr>
      <w:r w:rsidRPr="00CF0120">
        <w:rPr>
          <w:rFonts w:ascii="Verdana" w:hAnsi="Verdana"/>
          <w:b/>
          <w:bCs/>
          <w:sz w:val="20"/>
          <w:szCs w:val="20"/>
        </w:rPr>
        <w:t>(SIAR)</w:t>
      </w:r>
    </w:p>
    <w:p w14:paraId="1F071BFB" w14:textId="2E4D9C33" w:rsidR="00A64CAA" w:rsidRPr="00CF0120" w:rsidRDefault="00A64CAA" w:rsidP="005644FD">
      <w:pPr>
        <w:spacing w:after="0"/>
        <w:jc w:val="center"/>
        <w:rPr>
          <w:rFonts w:ascii="Verdana" w:hAnsi="Verdana"/>
          <w:b/>
          <w:bCs/>
          <w:sz w:val="20"/>
          <w:szCs w:val="20"/>
        </w:rPr>
      </w:pPr>
      <w:r w:rsidRPr="00CF0120">
        <w:rPr>
          <w:rFonts w:ascii="Verdana" w:hAnsi="Verdana"/>
          <w:b/>
          <w:bCs/>
          <w:sz w:val="20"/>
          <w:szCs w:val="20"/>
        </w:rPr>
        <w:t xml:space="preserve">ANEXO </w:t>
      </w:r>
      <w:r w:rsidR="00FD2EA9">
        <w:rPr>
          <w:rFonts w:ascii="Verdana" w:hAnsi="Verdana"/>
          <w:b/>
          <w:bCs/>
          <w:sz w:val="20"/>
          <w:szCs w:val="20"/>
        </w:rPr>
        <w:t>7</w:t>
      </w:r>
    </w:p>
    <w:p w14:paraId="09F2412A" w14:textId="352BFC8C" w:rsidR="00CC0076" w:rsidRPr="00CF0120" w:rsidRDefault="00684D72" w:rsidP="005644FD">
      <w:pPr>
        <w:spacing w:after="0"/>
        <w:jc w:val="center"/>
        <w:rPr>
          <w:rFonts w:ascii="Verdana" w:hAnsi="Verdana"/>
          <w:b/>
          <w:bCs/>
          <w:sz w:val="20"/>
          <w:szCs w:val="20"/>
        </w:rPr>
      </w:pPr>
      <w:r w:rsidRPr="00684D72">
        <w:rPr>
          <w:rFonts w:ascii="Verdana" w:hAnsi="Verdana"/>
          <w:b/>
          <w:sz w:val="20"/>
          <w:szCs w:val="20"/>
        </w:rPr>
        <w:t xml:space="preserve">MODELOS CUANTITATIVOS DE RIESGO DE MERCADO APLICABLES A LAS SOCIEDADES FIDUCIARIAS, SOCIEDADES ADMINISTRADORAS DE FONDOS DE PENSIONES Y DE CESANTÍA, SOCIEDADES ADMINISTRADORAS DE INVERSIÓN, ENTIDADES ADMINISTRADORAS DEL RÉGIMEN SOLIDARIO DE PRIMA MEDIA, ENTIDADES ASEGURADORAS, SOCIEDADES DE CAPITALIZACIÓN, ASÍ COMO A LOS FONDOS DE INVERSIÓN COLECTIVA Y FONDOS </w:t>
      </w:r>
    </w:p>
    <w:p w14:paraId="34FD7863" w14:textId="77777777" w:rsidR="009D6127" w:rsidRDefault="009D6127" w:rsidP="009D6127">
      <w:pPr>
        <w:rPr>
          <w:rFonts w:ascii="Verdana" w:hAnsi="Verdana"/>
          <w:b/>
          <w:bCs/>
          <w:sz w:val="20"/>
          <w:szCs w:val="20"/>
        </w:rPr>
      </w:pPr>
    </w:p>
    <w:p w14:paraId="55A94767" w14:textId="73DFACF6" w:rsidR="00DA0C0E" w:rsidRDefault="00695128" w:rsidP="009D6127">
      <w:pPr>
        <w:rPr>
          <w:rFonts w:ascii="Verdana" w:hAnsi="Verdana"/>
          <w:b/>
          <w:bCs/>
          <w:sz w:val="20"/>
          <w:szCs w:val="20"/>
        </w:rPr>
      </w:pPr>
      <w:r w:rsidRPr="007C1E39">
        <w:rPr>
          <w:rFonts w:ascii="Verdana" w:hAnsi="Verdana"/>
          <w:b/>
          <w:bCs/>
          <w:sz w:val="20"/>
          <w:szCs w:val="20"/>
        </w:rPr>
        <w:t>CONSIDERACIONES GENERALES</w:t>
      </w:r>
    </w:p>
    <w:p w14:paraId="0EBE58E4" w14:textId="77777777"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p>
    <w:p w14:paraId="3764CB97" w14:textId="15E990EE" w:rsidR="00DC17E7" w:rsidRPr="00653E80" w:rsidRDefault="00DC17E7" w:rsidP="00DC17E7">
      <w:pPr>
        <w:spacing w:after="0" w:line="240" w:lineRule="auto"/>
        <w:jc w:val="both"/>
        <w:rPr>
          <w:rFonts w:ascii="Verdana" w:hAnsi="Verdana" w:cs="Arial"/>
          <w:sz w:val="20"/>
          <w:szCs w:val="20"/>
        </w:rPr>
      </w:pPr>
      <w:r w:rsidRPr="00653E80">
        <w:rPr>
          <w:rFonts w:ascii="Verdana" w:eastAsia="Times New Roman" w:hAnsi="Verdana" w:cs="Arial"/>
          <w:sz w:val="20"/>
          <w:szCs w:val="20"/>
          <w:lang w:val="es-ES" w:eastAsia="es-ES"/>
        </w:rPr>
        <w:t xml:space="preserve">En el presente anexo se establece el </w:t>
      </w:r>
      <w:r w:rsidR="00903037">
        <w:rPr>
          <w:rFonts w:ascii="Verdana" w:eastAsia="Times New Roman" w:hAnsi="Verdana" w:cs="Arial"/>
          <w:sz w:val="20"/>
          <w:szCs w:val="20"/>
          <w:lang w:val="es-ES" w:eastAsia="es-ES"/>
        </w:rPr>
        <w:t>m</w:t>
      </w:r>
      <w:r w:rsidRPr="00653E80">
        <w:rPr>
          <w:rFonts w:ascii="Verdana" w:eastAsia="Times New Roman" w:hAnsi="Verdana" w:cs="Arial"/>
          <w:sz w:val="20"/>
          <w:szCs w:val="20"/>
          <w:lang w:val="es-ES" w:eastAsia="es-ES"/>
        </w:rPr>
        <w:t xml:space="preserve">odelo </w:t>
      </w:r>
      <w:r w:rsidR="00903037">
        <w:rPr>
          <w:rFonts w:ascii="Verdana" w:eastAsia="Times New Roman" w:hAnsi="Verdana" w:cs="Arial"/>
          <w:sz w:val="20"/>
          <w:szCs w:val="20"/>
          <w:lang w:val="es-ES" w:eastAsia="es-ES"/>
        </w:rPr>
        <w:t>e</w:t>
      </w:r>
      <w:r w:rsidRPr="00653E80">
        <w:rPr>
          <w:rFonts w:ascii="Verdana" w:eastAsia="Times New Roman" w:hAnsi="Verdana" w:cs="Arial"/>
          <w:sz w:val="20"/>
          <w:szCs w:val="20"/>
          <w:lang w:val="es-ES" w:eastAsia="es-ES"/>
        </w:rPr>
        <w:t xml:space="preserve">stándar para la medición de riesgo de mercado </w:t>
      </w:r>
      <w:r w:rsidR="00E55AC4">
        <w:rPr>
          <w:rFonts w:ascii="Verdana" w:eastAsia="Times New Roman" w:hAnsi="Verdana" w:cs="Arial"/>
          <w:sz w:val="20"/>
          <w:szCs w:val="20"/>
          <w:lang w:val="es-ES" w:eastAsia="es-ES"/>
        </w:rPr>
        <w:t>que</w:t>
      </w:r>
      <w:r w:rsidRPr="00653E80">
        <w:rPr>
          <w:rFonts w:ascii="Verdana" w:eastAsia="Times New Roman" w:hAnsi="Verdana" w:cs="Arial"/>
          <w:sz w:val="20"/>
          <w:szCs w:val="20"/>
          <w:lang w:val="es-ES" w:eastAsia="es-ES"/>
        </w:rPr>
        <w:t xml:space="preserve"> deben emplear </w:t>
      </w:r>
      <w:r w:rsidRPr="00653E80">
        <w:rPr>
          <w:rFonts w:ascii="Verdana" w:hAnsi="Verdana" w:cs="Arial"/>
          <w:sz w:val="20"/>
          <w:szCs w:val="20"/>
        </w:rPr>
        <w:t xml:space="preserve">las </w:t>
      </w:r>
      <w:r w:rsidR="00B2342A">
        <w:rPr>
          <w:rFonts w:ascii="Verdana" w:hAnsi="Verdana" w:cs="Arial"/>
          <w:sz w:val="20"/>
          <w:szCs w:val="20"/>
        </w:rPr>
        <w:t>sociedades fiduciarias</w:t>
      </w:r>
      <w:r w:rsidRPr="00653E80">
        <w:rPr>
          <w:rFonts w:ascii="Verdana" w:hAnsi="Verdana" w:cs="Arial"/>
          <w:sz w:val="20"/>
          <w:szCs w:val="20"/>
        </w:rPr>
        <w:t xml:space="preserve">, </w:t>
      </w:r>
      <w:r w:rsidR="00C5462A">
        <w:rPr>
          <w:rFonts w:ascii="Verdana" w:hAnsi="Verdana" w:cs="Arial"/>
          <w:sz w:val="20"/>
          <w:szCs w:val="20"/>
        </w:rPr>
        <w:t xml:space="preserve">las </w:t>
      </w:r>
      <w:r w:rsidRPr="00653E80">
        <w:rPr>
          <w:rFonts w:ascii="Verdana" w:hAnsi="Verdana" w:cs="Arial"/>
          <w:sz w:val="20"/>
          <w:szCs w:val="20"/>
        </w:rPr>
        <w:t xml:space="preserve">sociedades administradoras de fondos de pensiones y de cesantía, </w:t>
      </w:r>
      <w:r w:rsidR="00CF2D28">
        <w:rPr>
          <w:rFonts w:ascii="Verdana" w:hAnsi="Verdana" w:cs="Arial"/>
          <w:sz w:val="20"/>
          <w:szCs w:val="20"/>
        </w:rPr>
        <w:t xml:space="preserve">las </w:t>
      </w:r>
      <w:r w:rsidR="00D97129">
        <w:rPr>
          <w:rFonts w:ascii="Verdana" w:hAnsi="Verdana" w:cs="Arial"/>
          <w:sz w:val="20"/>
          <w:szCs w:val="20"/>
        </w:rPr>
        <w:t>s</w:t>
      </w:r>
      <w:r w:rsidR="00B2342A">
        <w:rPr>
          <w:rFonts w:ascii="Verdana" w:hAnsi="Verdana" w:cs="Arial"/>
          <w:sz w:val="20"/>
          <w:szCs w:val="20"/>
        </w:rPr>
        <w:t xml:space="preserve">ociedades </w:t>
      </w:r>
      <w:r w:rsidR="00D97129">
        <w:rPr>
          <w:rFonts w:ascii="Verdana" w:hAnsi="Verdana" w:cs="Arial"/>
          <w:sz w:val="20"/>
          <w:szCs w:val="20"/>
        </w:rPr>
        <w:t>a</w:t>
      </w:r>
      <w:r w:rsidR="00B2342A">
        <w:rPr>
          <w:rFonts w:ascii="Verdana" w:hAnsi="Verdana" w:cs="Arial"/>
          <w:sz w:val="20"/>
          <w:szCs w:val="20"/>
        </w:rPr>
        <w:t xml:space="preserve">dministradoras de </w:t>
      </w:r>
      <w:r w:rsidR="00D97129">
        <w:rPr>
          <w:rFonts w:ascii="Verdana" w:hAnsi="Verdana" w:cs="Arial"/>
          <w:sz w:val="20"/>
          <w:szCs w:val="20"/>
        </w:rPr>
        <w:t>i</w:t>
      </w:r>
      <w:r w:rsidR="00B2342A">
        <w:rPr>
          <w:rFonts w:ascii="Verdana" w:hAnsi="Verdana" w:cs="Arial"/>
          <w:sz w:val="20"/>
          <w:szCs w:val="20"/>
        </w:rPr>
        <w:t>nversión</w:t>
      </w:r>
      <w:r w:rsidRPr="00653E80">
        <w:rPr>
          <w:rFonts w:ascii="Verdana" w:hAnsi="Verdana" w:cs="Arial"/>
          <w:sz w:val="20"/>
          <w:szCs w:val="20"/>
        </w:rPr>
        <w:t xml:space="preserve">, </w:t>
      </w:r>
      <w:r w:rsidR="00CF2D28">
        <w:rPr>
          <w:rFonts w:ascii="Verdana" w:hAnsi="Verdana" w:cs="Arial"/>
          <w:sz w:val="20"/>
          <w:szCs w:val="20"/>
        </w:rPr>
        <w:t xml:space="preserve">las </w:t>
      </w:r>
      <w:r w:rsidRPr="00653E80">
        <w:rPr>
          <w:rFonts w:ascii="Verdana" w:hAnsi="Verdana" w:cs="Arial"/>
          <w:sz w:val="20"/>
          <w:szCs w:val="20"/>
        </w:rPr>
        <w:t xml:space="preserve">entidades administradoras del régimen solidario de prima media, </w:t>
      </w:r>
      <w:r w:rsidR="00CF2D28">
        <w:rPr>
          <w:rFonts w:ascii="Verdana" w:hAnsi="Verdana" w:cs="Arial"/>
          <w:sz w:val="20"/>
          <w:szCs w:val="20"/>
        </w:rPr>
        <w:t xml:space="preserve">las </w:t>
      </w:r>
      <w:r w:rsidR="00D97129">
        <w:rPr>
          <w:rFonts w:ascii="Verdana" w:hAnsi="Verdana" w:cs="Arial"/>
          <w:sz w:val="20"/>
          <w:szCs w:val="20"/>
        </w:rPr>
        <w:t>entidades aseguradoras</w:t>
      </w:r>
      <w:r w:rsidRPr="00653E80">
        <w:rPr>
          <w:rFonts w:ascii="Verdana" w:hAnsi="Verdana" w:cs="Arial"/>
          <w:sz w:val="20"/>
          <w:szCs w:val="20"/>
        </w:rPr>
        <w:t xml:space="preserve">, </w:t>
      </w:r>
      <w:r w:rsidR="00CF2D28">
        <w:rPr>
          <w:rFonts w:ascii="Verdana" w:hAnsi="Verdana" w:cs="Arial"/>
          <w:sz w:val="20"/>
          <w:szCs w:val="20"/>
        </w:rPr>
        <w:t xml:space="preserve">las </w:t>
      </w:r>
      <w:r w:rsidRPr="00653E80">
        <w:rPr>
          <w:rFonts w:ascii="Verdana" w:hAnsi="Verdana" w:cs="Arial"/>
          <w:sz w:val="20"/>
          <w:szCs w:val="20"/>
        </w:rPr>
        <w:t xml:space="preserve">sociedades de capitalización, </w:t>
      </w:r>
      <w:r w:rsidR="00CF2D28">
        <w:rPr>
          <w:rFonts w:ascii="Verdana" w:hAnsi="Verdana" w:cs="Arial"/>
          <w:sz w:val="20"/>
          <w:szCs w:val="20"/>
        </w:rPr>
        <w:t>y</w:t>
      </w:r>
      <w:r w:rsidRPr="00653E80">
        <w:rPr>
          <w:rFonts w:ascii="Verdana" w:hAnsi="Verdana" w:cs="Arial"/>
          <w:sz w:val="20"/>
          <w:szCs w:val="20"/>
        </w:rPr>
        <w:t xml:space="preserve"> los FIC y fondos </w:t>
      </w:r>
      <w:r w:rsidR="0088317B">
        <w:rPr>
          <w:rFonts w:ascii="Verdana" w:hAnsi="Verdana" w:cs="Arial"/>
          <w:sz w:val="20"/>
          <w:szCs w:val="20"/>
        </w:rPr>
        <w:t>administrados</w:t>
      </w:r>
      <w:r w:rsidR="00CF2D28">
        <w:rPr>
          <w:rFonts w:ascii="Verdana" w:hAnsi="Verdana" w:cs="Arial"/>
          <w:sz w:val="20"/>
          <w:szCs w:val="20"/>
        </w:rPr>
        <w:t xml:space="preserve"> por cualquiera de las anteriores entidades, así como los</w:t>
      </w:r>
      <w:r w:rsidRPr="00653E80">
        <w:rPr>
          <w:rFonts w:ascii="Verdana" w:hAnsi="Verdana" w:cs="Arial"/>
          <w:sz w:val="20"/>
          <w:szCs w:val="20"/>
        </w:rPr>
        <w:t xml:space="preserve"> fondos </w:t>
      </w:r>
      <w:r w:rsidR="00CF2D28">
        <w:rPr>
          <w:rFonts w:ascii="Verdana" w:hAnsi="Verdana" w:cs="Arial"/>
          <w:sz w:val="20"/>
          <w:szCs w:val="20"/>
        </w:rPr>
        <w:t>y demás</w:t>
      </w:r>
      <w:r w:rsidR="0088317B">
        <w:rPr>
          <w:rFonts w:ascii="Verdana" w:hAnsi="Verdana" w:cs="Arial"/>
          <w:sz w:val="20"/>
          <w:szCs w:val="20"/>
        </w:rPr>
        <w:t xml:space="preserve"> </w:t>
      </w:r>
      <w:r w:rsidR="00CF2D28">
        <w:rPr>
          <w:rFonts w:ascii="Verdana" w:hAnsi="Verdana" w:cs="Arial"/>
          <w:sz w:val="20"/>
          <w:szCs w:val="20"/>
        </w:rPr>
        <w:t xml:space="preserve">vehículos </w:t>
      </w:r>
      <w:r w:rsidR="00966F58">
        <w:rPr>
          <w:rFonts w:ascii="Verdana" w:hAnsi="Verdana" w:cs="Arial"/>
          <w:sz w:val="20"/>
          <w:szCs w:val="20"/>
        </w:rPr>
        <w:t>señalad</w:t>
      </w:r>
      <w:r w:rsidR="0088317B">
        <w:rPr>
          <w:rFonts w:ascii="Verdana" w:hAnsi="Verdana" w:cs="Arial"/>
          <w:sz w:val="20"/>
          <w:szCs w:val="20"/>
        </w:rPr>
        <w:t>o</w:t>
      </w:r>
      <w:r w:rsidR="00966F58">
        <w:rPr>
          <w:rFonts w:ascii="Verdana" w:hAnsi="Verdana" w:cs="Arial"/>
          <w:sz w:val="20"/>
          <w:szCs w:val="20"/>
        </w:rPr>
        <w:t>s en los literales (b) y (d) del párrafo</w:t>
      </w:r>
      <w:r w:rsidR="0088317B">
        <w:rPr>
          <w:rFonts w:ascii="Verdana" w:hAnsi="Verdana" w:cs="Arial"/>
          <w:sz w:val="20"/>
          <w:szCs w:val="20"/>
        </w:rPr>
        <w:t xml:space="preserve"> 1.1.3.82. de la </w:t>
      </w:r>
      <w:r w:rsidR="00747C09">
        <w:rPr>
          <w:rFonts w:ascii="Verdana" w:hAnsi="Verdana" w:cs="Arial"/>
          <w:sz w:val="20"/>
          <w:szCs w:val="20"/>
        </w:rPr>
        <w:t>CBF</w:t>
      </w:r>
      <w:r w:rsidR="0088317B">
        <w:rPr>
          <w:rFonts w:ascii="Verdana" w:hAnsi="Verdana" w:cs="Arial"/>
          <w:sz w:val="20"/>
          <w:szCs w:val="20"/>
        </w:rPr>
        <w:t xml:space="preserve">. </w:t>
      </w:r>
    </w:p>
    <w:p w14:paraId="30E33281" w14:textId="77777777" w:rsidR="00DC17E7" w:rsidRPr="00653E80" w:rsidRDefault="00DC17E7" w:rsidP="00DC17E7">
      <w:pPr>
        <w:spacing w:after="0" w:line="240" w:lineRule="auto"/>
        <w:jc w:val="both"/>
        <w:rPr>
          <w:rFonts w:ascii="Verdana" w:hAnsi="Verdana" w:cs="Arial"/>
          <w:sz w:val="20"/>
          <w:szCs w:val="20"/>
        </w:rPr>
      </w:pPr>
      <w:r>
        <w:rPr>
          <w:rFonts w:ascii="Verdana" w:hAnsi="Verdana" w:cs="Arial"/>
          <w:sz w:val="20"/>
          <w:szCs w:val="20"/>
        </w:rPr>
        <w:t xml:space="preserve"> </w:t>
      </w:r>
    </w:p>
    <w:p w14:paraId="17153FC1" w14:textId="77777777"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Pr>
          <w:rFonts w:ascii="Verdana" w:hAnsi="Verdana"/>
          <w:sz w:val="20"/>
          <w:szCs w:val="20"/>
        </w:rPr>
        <w:t>2</w:t>
      </w:r>
      <w:r w:rsidRPr="000E0B7B">
        <w:rPr>
          <w:rFonts w:ascii="Verdana" w:hAnsi="Verdana"/>
          <w:sz w:val="20"/>
          <w:szCs w:val="20"/>
        </w:rPr>
        <w:t>.</w:t>
      </w:r>
    </w:p>
    <w:p w14:paraId="78C8589C" w14:textId="441299E1" w:rsidR="00DC17E7" w:rsidRPr="00653E80"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Las </w:t>
      </w:r>
      <w:r w:rsidR="0018287D">
        <w:rPr>
          <w:rFonts w:ascii="Verdana" w:eastAsia="Times New Roman" w:hAnsi="Verdana" w:cs="Arial"/>
          <w:sz w:val="20"/>
          <w:szCs w:val="20"/>
          <w:lang w:val="es-ES" w:eastAsia="es-ES"/>
        </w:rPr>
        <w:t>So</w:t>
      </w:r>
      <w:r w:rsidR="000215AE">
        <w:rPr>
          <w:rFonts w:ascii="Verdana" w:eastAsia="Times New Roman" w:hAnsi="Verdana" w:cs="Arial"/>
          <w:sz w:val="20"/>
          <w:szCs w:val="20"/>
          <w:lang w:val="es-ES" w:eastAsia="es-ES"/>
        </w:rPr>
        <w:t>ciedades Comisionistas de Bolsa de Valores (</w:t>
      </w:r>
      <w:r w:rsidRPr="00653E80">
        <w:rPr>
          <w:rFonts w:ascii="Verdana" w:eastAsia="Times New Roman" w:hAnsi="Verdana" w:cs="Arial"/>
          <w:sz w:val="20"/>
          <w:szCs w:val="20"/>
          <w:lang w:val="es-ES" w:eastAsia="es-ES"/>
        </w:rPr>
        <w:t>SCBV</w:t>
      </w:r>
      <w:r w:rsidR="000215AE">
        <w:rPr>
          <w:rFonts w:ascii="Verdana" w:eastAsia="Times New Roman" w:hAnsi="Verdana" w:cs="Arial"/>
          <w:sz w:val="20"/>
          <w:szCs w:val="20"/>
          <w:lang w:val="es-ES" w:eastAsia="es-ES"/>
        </w:rPr>
        <w:t>)</w:t>
      </w:r>
      <w:r w:rsidRPr="00653E80">
        <w:rPr>
          <w:rFonts w:ascii="Verdana" w:eastAsia="Times New Roman" w:hAnsi="Verdana" w:cs="Arial"/>
          <w:sz w:val="20"/>
          <w:szCs w:val="20"/>
          <w:lang w:val="es-ES" w:eastAsia="es-ES"/>
        </w:rPr>
        <w:t xml:space="preserve"> deben utilizar el modelo presentado en el presente </w:t>
      </w:r>
      <w:r w:rsidR="0088317B">
        <w:rPr>
          <w:rFonts w:ascii="Verdana" w:eastAsia="Times New Roman" w:hAnsi="Verdana" w:cs="Arial"/>
          <w:sz w:val="20"/>
          <w:szCs w:val="20"/>
          <w:lang w:val="es-ES" w:eastAsia="es-ES"/>
        </w:rPr>
        <w:t>a</w:t>
      </w:r>
      <w:r w:rsidRPr="00653E80">
        <w:rPr>
          <w:rFonts w:ascii="Verdana" w:eastAsia="Times New Roman" w:hAnsi="Verdana" w:cs="Arial"/>
          <w:sz w:val="20"/>
          <w:szCs w:val="20"/>
          <w:lang w:val="es-ES" w:eastAsia="es-ES"/>
        </w:rPr>
        <w:t>nexo para medir de forma independiente la exposición a</w:t>
      </w:r>
      <w:r w:rsidR="00ED1B68">
        <w:rPr>
          <w:rFonts w:ascii="Verdana" w:eastAsia="Times New Roman" w:hAnsi="Verdana" w:cs="Arial"/>
          <w:sz w:val="20"/>
          <w:szCs w:val="20"/>
          <w:lang w:val="es-ES" w:eastAsia="es-ES"/>
        </w:rPr>
        <w:t>l</w:t>
      </w:r>
      <w:r w:rsidRPr="00653E80">
        <w:rPr>
          <w:rFonts w:ascii="Verdana" w:eastAsia="Times New Roman" w:hAnsi="Verdana" w:cs="Arial"/>
          <w:sz w:val="20"/>
          <w:szCs w:val="20"/>
          <w:lang w:val="es-ES" w:eastAsia="es-ES"/>
        </w:rPr>
        <w:t xml:space="preserve"> riesgo de mercado </w:t>
      </w:r>
      <w:r w:rsidR="00ED1B68">
        <w:rPr>
          <w:rFonts w:ascii="Verdana" w:eastAsia="Times New Roman" w:hAnsi="Verdana" w:cs="Arial"/>
          <w:sz w:val="20"/>
          <w:szCs w:val="20"/>
          <w:lang w:val="es-ES" w:eastAsia="es-ES"/>
        </w:rPr>
        <w:t xml:space="preserve">de </w:t>
      </w:r>
      <w:r w:rsidRPr="00653E80">
        <w:rPr>
          <w:rFonts w:ascii="Verdana" w:eastAsia="Times New Roman" w:hAnsi="Verdana" w:cs="Arial"/>
          <w:sz w:val="20"/>
          <w:szCs w:val="20"/>
          <w:lang w:val="es-ES" w:eastAsia="es-ES"/>
        </w:rPr>
        <w:t>las posiciones de cada uno de los portafolios administrados.</w:t>
      </w:r>
    </w:p>
    <w:p w14:paraId="38FC4398"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40B9FFDA" w14:textId="205E51B2" w:rsidR="00DC17E7" w:rsidRPr="00653E80" w:rsidRDefault="00695128" w:rsidP="00DC17E7">
      <w:pPr>
        <w:pStyle w:val="Prrafodelista"/>
        <w:spacing w:after="0" w:line="240" w:lineRule="auto"/>
        <w:ind w:left="0"/>
        <w:jc w:val="both"/>
        <w:rPr>
          <w:rFonts w:ascii="Verdana" w:eastAsia="Times New Roman" w:hAnsi="Verdana" w:cs="Arial"/>
          <w:b/>
          <w:sz w:val="20"/>
          <w:szCs w:val="20"/>
          <w:lang w:val="es-ES" w:eastAsia="es-ES"/>
        </w:rPr>
      </w:pPr>
      <w:r>
        <w:rPr>
          <w:rFonts w:ascii="Verdana" w:eastAsia="Times New Roman" w:hAnsi="Verdana" w:cs="Arial"/>
          <w:b/>
          <w:sz w:val="20"/>
          <w:szCs w:val="20"/>
          <w:lang w:val="es-ES" w:eastAsia="es-ES"/>
        </w:rPr>
        <w:t>M</w:t>
      </w:r>
      <w:r w:rsidRPr="00653E80">
        <w:rPr>
          <w:rFonts w:ascii="Verdana" w:eastAsia="Times New Roman" w:hAnsi="Verdana" w:cs="Arial"/>
          <w:b/>
          <w:sz w:val="20"/>
          <w:szCs w:val="20"/>
          <w:lang w:val="es-ES" w:eastAsia="es-ES"/>
        </w:rPr>
        <w:t>ETODOLOGÍA ESTÁNDAR DE MEDICIÓN</w:t>
      </w:r>
    </w:p>
    <w:p w14:paraId="3A991BAC" w14:textId="77777777" w:rsidR="00DC17E7" w:rsidRDefault="00DC17E7" w:rsidP="00DC17E7">
      <w:pPr>
        <w:spacing w:after="0" w:line="240" w:lineRule="auto"/>
        <w:jc w:val="both"/>
        <w:rPr>
          <w:rFonts w:ascii="Verdana" w:eastAsia="Times New Roman" w:hAnsi="Verdana" w:cs="Arial"/>
          <w:b/>
          <w:sz w:val="20"/>
          <w:szCs w:val="20"/>
          <w:lang w:val="es-ES" w:eastAsia="es-ES"/>
        </w:rPr>
      </w:pPr>
    </w:p>
    <w:p w14:paraId="1EC76848" w14:textId="77777777"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Pr>
          <w:rFonts w:ascii="Verdana" w:hAnsi="Verdana"/>
          <w:sz w:val="20"/>
          <w:szCs w:val="20"/>
        </w:rPr>
        <w:t>3</w:t>
      </w:r>
      <w:r w:rsidRPr="000E0B7B">
        <w:rPr>
          <w:rFonts w:ascii="Verdana" w:hAnsi="Verdana"/>
          <w:sz w:val="20"/>
          <w:szCs w:val="20"/>
        </w:rPr>
        <w:t>.</w:t>
      </w:r>
    </w:p>
    <w:p w14:paraId="62F860FB"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La metodología estandarizada se compone de un modelo de factores de riesgo correlacionado, calculando los siguientes factores de riesgo:</w:t>
      </w:r>
    </w:p>
    <w:p w14:paraId="6DAD5A51"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2E6ECD2A" w14:textId="77777777" w:rsidR="00DC17E7" w:rsidRPr="00447D27" w:rsidRDefault="00DC17E7" w:rsidP="00DC17E7">
      <w:pPr>
        <w:pStyle w:val="Prrafodelista"/>
        <w:numPr>
          <w:ilvl w:val="0"/>
          <w:numId w:val="4"/>
        </w:numPr>
        <w:spacing w:after="0" w:line="240" w:lineRule="auto"/>
        <w:ind w:left="0" w:firstLine="0"/>
        <w:jc w:val="both"/>
        <w:rPr>
          <w:rFonts w:ascii="Verdana" w:eastAsia="Times New Roman" w:hAnsi="Verdana" w:cs="Arial"/>
          <w:sz w:val="20"/>
          <w:szCs w:val="20"/>
          <w:lang w:val="es-ES" w:eastAsia="es-ES"/>
        </w:rPr>
      </w:pPr>
      <w:r w:rsidRPr="00447D27">
        <w:rPr>
          <w:rFonts w:ascii="Verdana" w:eastAsia="Times New Roman" w:hAnsi="Verdana" w:cs="Arial"/>
          <w:sz w:val="20"/>
          <w:szCs w:val="20"/>
          <w:lang w:val="es-ES" w:eastAsia="es-ES"/>
        </w:rPr>
        <w:t>Riesgo de tasa de interés.</w:t>
      </w:r>
    </w:p>
    <w:p w14:paraId="4BCE0C00" w14:textId="77777777" w:rsidR="00695128" w:rsidRDefault="00695128" w:rsidP="00695128">
      <w:pPr>
        <w:pStyle w:val="Prrafodelista"/>
        <w:spacing w:after="0" w:line="240" w:lineRule="auto"/>
        <w:ind w:left="0"/>
        <w:jc w:val="both"/>
        <w:rPr>
          <w:rFonts w:ascii="Verdana" w:eastAsia="Times New Roman" w:hAnsi="Verdana" w:cs="Arial"/>
          <w:sz w:val="20"/>
          <w:szCs w:val="20"/>
          <w:lang w:val="es-ES" w:eastAsia="es-ES"/>
        </w:rPr>
      </w:pPr>
    </w:p>
    <w:p w14:paraId="03D4BB1E" w14:textId="77777777" w:rsidR="00695128" w:rsidRDefault="00DC17E7" w:rsidP="00695128">
      <w:pPr>
        <w:pStyle w:val="Prrafodelista"/>
        <w:numPr>
          <w:ilvl w:val="0"/>
          <w:numId w:val="4"/>
        </w:numPr>
        <w:spacing w:after="0" w:line="240" w:lineRule="auto"/>
        <w:ind w:left="0" w:firstLine="0"/>
        <w:jc w:val="both"/>
        <w:rPr>
          <w:rFonts w:ascii="Verdana" w:eastAsia="Times New Roman" w:hAnsi="Verdana" w:cs="Arial"/>
          <w:sz w:val="20"/>
          <w:szCs w:val="20"/>
          <w:lang w:val="es-ES" w:eastAsia="es-ES"/>
        </w:rPr>
      </w:pPr>
      <w:r w:rsidRPr="00447D27">
        <w:rPr>
          <w:rFonts w:ascii="Verdana" w:eastAsia="Times New Roman" w:hAnsi="Verdana" w:cs="Arial"/>
          <w:sz w:val="20"/>
          <w:szCs w:val="20"/>
          <w:lang w:val="es-ES" w:eastAsia="es-ES"/>
        </w:rPr>
        <w:t>Riesgo de tasa de cambio.</w:t>
      </w:r>
    </w:p>
    <w:p w14:paraId="131B0E92" w14:textId="77777777" w:rsidR="00695128" w:rsidRPr="00F14DA6" w:rsidRDefault="00695128" w:rsidP="00F14DA6">
      <w:pPr>
        <w:rPr>
          <w:rFonts w:ascii="Verdana" w:eastAsia="Times New Roman" w:hAnsi="Verdana" w:cs="Arial"/>
          <w:sz w:val="20"/>
          <w:szCs w:val="20"/>
          <w:lang w:val="es-ES" w:eastAsia="es-ES"/>
        </w:rPr>
      </w:pPr>
    </w:p>
    <w:p w14:paraId="577938CE" w14:textId="77777777" w:rsidR="00695128" w:rsidRDefault="00DC17E7" w:rsidP="00695128">
      <w:pPr>
        <w:pStyle w:val="Prrafodelista"/>
        <w:numPr>
          <w:ilvl w:val="0"/>
          <w:numId w:val="4"/>
        </w:numPr>
        <w:spacing w:after="0" w:line="240" w:lineRule="auto"/>
        <w:ind w:left="0" w:firstLine="0"/>
        <w:jc w:val="both"/>
        <w:rPr>
          <w:rFonts w:ascii="Verdana" w:eastAsia="Times New Roman" w:hAnsi="Verdana" w:cs="Arial"/>
          <w:sz w:val="20"/>
          <w:szCs w:val="20"/>
          <w:lang w:val="es-ES" w:eastAsia="es-ES"/>
        </w:rPr>
      </w:pPr>
      <w:r w:rsidRPr="00695128">
        <w:rPr>
          <w:rFonts w:ascii="Verdana" w:eastAsia="Times New Roman" w:hAnsi="Verdana" w:cs="Arial"/>
          <w:sz w:val="20"/>
          <w:szCs w:val="20"/>
          <w:lang w:val="es-ES" w:eastAsia="es-ES"/>
        </w:rPr>
        <w:t>Riesgo del precio de acciones o índices accionarios.</w:t>
      </w:r>
    </w:p>
    <w:p w14:paraId="60852428" w14:textId="77777777" w:rsidR="00695128" w:rsidRPr="000A028A" w:rsidRDefault="00695128" w:rsidP="000A028A">
      <w:pPr>
        <w:rPr>
          <w:rFonts w:ascii="Verdana" w:eastAsia="Times New Roman" w:hAnsi="Verdana" w:cs="Arial"/>
          <w:sz w:val="20"/>
          <w:szCs w:val="20"/>
          <w:lang w:val="es-ES" w:eastAsia="es-ES"/>
        </w:rPr>
      </w:pPr>
    </w:p>
    <w:p w14:paraId="13A7FD18" w14:textId="2EC1DEB2" w:rsidR="00695128" w:rsidRDefault="00DC17E7" w:rsidP="00695128">
      <w:pPr>
        <w:pStyle w:val="Prrafodelista"/>
        <w:numPr>
          <w:ilvl w:val="0"/>
          <w:numId w:val="4"/>
        </w:numPr>
        <w:spacing w:after="0" w:line="240" w:lineRule="auto"/>
        <w:ind w:left="0" w:firstLine="0"/>
        <w:jc w:val="both"/>
        <w:rPr>
          <w:rFonts w:ascii="Verdana" w:eastAsia="Times New Roman" w:hAnsi="Verdana" w:cs="Arial"/>
          <w:sz w:val="20"/>
          <w:szCs w:val="20"/>
          <w:lang w:val="es-ES" w:eastAsia="es-ES"/>
        </w:rPr>
      </w:pPr>
      <w:r w:rsidRPr="00695128">
        <w:rPr>
          <w:rFonts w:ascii="Verdana" w:eastAsia="Times New Roman" w:hAnsi="Verdana" w:cs="Arial"/>
          <w:sz w:val="20"/>
          <w:szCs w:val="20"/>
          <w:lang w:val="es-ES" w:eastAsia="es-ES"/>
        </w:rPr>
        <w:t>Riesgo por inversiones en FIC.</w:t>
      </w:r>
    </w:p>
    <w:p w14:paraId="2EA54FF2" w14:textId="77777777" w:rsidR="00695128" w:rsidRPr="000A028A" w:rsidRDefault="00695128" w:rsidP="000A028A">
      <w:pPr>
        <w:rPr>
          <w:rFonts w:ascii="Verdana" w:eastAsia="Times New Roman" w:hAnsi="Verdana" w:cs="Arial"/>
          <w:snapToGrid w:val="0"/>
          <w:sz w:val="20"/>
          <w:szCs w:val="20"/>
          <w:lang w:val="es-MX" w:eastAsia="es-ES"/>
        </w:rPr>
      </w:pPr>
    </w:p>
    <w:p w14:paraId="5703CDAA" w14:textId="177F8F45" w:rsidR="00DC17E7" w:rsidRPr="00695128" w:rsidRDefault="00DC17E7" w:rsidP="00695128">
      <w:pPr>
        <w:pStyle w:val="Prrafodelista"/>
        <w:numPr>
          <w:ilvl w:val="0"/>
          <w:numId w:val="4"/>
        </w:numPr>
        <w:spacing w:after="0" w:line="240" w:lineRule="auto"/>
        <w:ind w:left="0" w:firstLine="0"/>
        <w:jc w:val="both"/>
        <w:rPr>
          <w:rFonts w:ascii="Verdana" w:eastAsia="Times New Roman" w:hAnsi="Verdana" w:cs="Arial"/>
          <w:sz w:val="20"/>
          <w:szCs w:val="20"/>
          <w:lang w:val="es-ES" w:eastAsia="es-ES"/>
        </w:rPr>
      </w:pPr>
      <w:r w:rsidRPr="00695128">
        <w:rPr>
          <w:rFonts w:ascii="Verdana" w:eastAsia="Times New Roman" w:hAnsi="Verdana" w:cs="Arial"/>
          <w:snapToGrid w:val="0"/>
          <w:sz w:val="20"/>
          <w:szCs w:val="20"/>
          <w:lang w:val="es-MX" w:eastAsia="es-ES"/>
        </w:rPr>
        <w:t>Riesgo de derivados de crédito</w:t>
      </w:r>
    </w:p>
    <w:p w14:paraId="3C6073A0" w14:textId="77777777" w:rsidR="00DC17E7" w:rsidRDefault="00DC17E7" w:rsidP="00DC17E7">
      <w:pPr>
        <w:spacing w:after="0" w:line="240" w:lineRule="auto"/>
        <w:contextualSpacing/>
        <w:jc w:val="both"/>
        <w:rPr>
          <w:rFonts w:ascii="Verdana" w:eastAsia="Times New Roman" w:hAnsi="Verdana" w:cs="Arial"/>
          <w:b/>
          <w:sz w:val="20"/>
          <w:szCs w:val="20"/>
          <w:lang w:val="es-ES" w:eastAsia="es-ES"/>
        </w:rPr>
      </w:pPr>
    </w:p>
    <w:p w14:paraId="5B408D8D" w14:textId="38EE43B8"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r w:rsidRPr="00653E80">
        <w:rPr>
          <w:rFonts w:ascii="Verdana" w:eastAsia="Times New Roman" w:hAnsi="Verdana" w:cs="Arial"/>
          <w:b/>
          <w:sz w:val="20"/>
          <w:szCs w:val="20"/>
          <w:lang w:val="es-ES" w:eastAsia="es-ES"/>
        </w:rPr>
        <w:t xml:space="preserve">Tratamiento de las </w:t>
      </w:r>
      <w:r w:rsidR="00B4229B">
        <w:rPr>
          <w:rFonts w:ascii="Verdana" w:eastAsia="Times New Roman" w:hAnsi="Verdana" w:cs="Arial"/>
          <w:b/>
          <w:sz w:val="20"/>
          <w:szCs w:val="20"/>
          <w:lang w:val="es-ES" w:eastAsia="es-ES"/>
        </w:rPr>
        <w:t>p</w:t>
      </w:r>
      <w:r w:rsidRPr="00653E80">
        <w:rPr>
          <w:rFonts w:ascii="Verdana" w:eastAsia="Times New Roman" w:hAnsi="Verdana" w:cs="Arial"/>
          <w:b/>
          <w:sz w:val="20"/>
          <w:szCs w:val="20"/>
          <w:lang w:val="es-ES" w:eastAsia="es-ES"/>
        </w:rPr>
        <w:t>osiciones en derivados y otras operaciones</w:t>
      </w:r>
    </w:p>
    <w:p w14:paraId="56833E8D"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04038962" w14:textId="77777777"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Pr>
          <w:rFonts w:ascii="Verdana" w:hAnsi="Verdana"/>
          <w:sz w:val="20"/>
          <w:szCs w:val="20"/>
        </w:rPr>
        <w:t>4</w:t>
      </w:r>
      <w:r w:rsidRPr="000E0B7B">
        <w:rPr>
          <w:rFonts w:ascii="Verdana" w:hAnsi="Verdana"/>
          <w:sz w:val="20"/>
          <w:szCs w:val="20"/>
        </w:rPr>
        <w:t>.</w:t>
      </w:r>
    </w:p>
    <w:p w14:paraId="571A59B0" w14:textId="6732093E" w:rsidR="000A028A" w:rsidRDefault="00EE48A5" w:rsidP="00DC17E7">
      <w:pPr>
        <w:spacing w:after="0" w:line="240" w:lineRule="auto"/>
        <w:jc w:val="both"/>
        <w:rPr>
          <w:rFonts w:ascii="Verdana" w:eastAsia="Times New Roman" w:hAnsi="Verdana" w:cs="Arial"/>
          <w:sz w:val="20"/>
          <w:szCs w:val="20"/>
          <w:lang w:val="es-ES" w:eastAsia="es-ES"/>
        </w:rPr>
      </w:pPr>
      <w:r>
        <w:rPr>
          <w:rFonts w:ascii="Verdana" w:eastAsia="Times New Roman" w:hAnsi="Verdana" w:cs="Arial"/>
          <w:sz w:val="20"/>
          <w:szCs w:val="20"/>
          <w:lang w:val="es-ES" w:eastAsia="es-ES"/>
        </w:rPr>
        <w:t>Las instrucciones contenidas entre los párrafos 1.1.A7.</w:t>
      </w:r>
      <w:r w:rsidR="00E00753">
        <w:rPr>
          <w:rFonts w:ascii="Verdana" w:eastAsia="Times New Roman" w:hAnsi="Verdana" w:cs="Arial"/>
          <w:sz w:val="20"/>
          <w:szCs w:val="20"/>
          <w:lang w:val="es-ES" w:eastAsia="es-ES"/>
        </w:rPr>
        <w:t xml:space="preserve">4. y 1.1.A7.37. </w:t>
      </w:r>
      <w:r w:rsidR="00DC17E7" w:rsidRPr="00653E80">
        <w:rPr>
          <w:rFonts w:ascii="Verdana" w:eastAsia="Times New Roman" w:hAnsi="Verdana" w:cs="Arial"/>
          <w:sz w:val="20"/>
          <w:szCs w:val="20"/>
          <w:lang w:val="es-ES" w:eastAsia="es-ES"/>
        </w:rPr>
        <w:t>aplica</w:t>
      </w:r>
      <w:r w:rsidR="00E00753">
        <w:rPr>
          <w:rFonts w:ascii="Verdana" w:eastAsia="Times New Roman" w:hAnsi="Verdana" w:cs="Arial"/>
          <w:sz w:val="20"/>
          <w:szCs w:val="20"/>
          <w:lang w:val="es-ES" w:eastAsia="es-ES"/>
        </w:rPr>
        <w:t>n</w:t>
      </w:r>
      <w:r w:rsidR="00DC17E7" w:rsidRPr="00653E80">
        <w:rPr>
          <w:rFonts w:ascii="Verdana" w:eastAsia="Times New Roman" w:hAnsi="Verdana" w:cs="Arial"/>
          <w:sz w:val="20"/>
          <w:szCs w:val="20"/>
          <w:lang w:val="es-ES" w:eastAsia="es-ES"/>
        </w:rPr>
        <w:t xml:space="preserve"> para aquellas entidades, FIC o portafolios, que por su régimen de inversiones puedan realizar este tipo de operaciones. Las posiciones en instrumentos derivados y en operaciones de repo o reporto, en operaciones simultáneas y en operaciones de transferencia temporal de valores serán tenidas en cuenta para el cálculo de la exposición al riesgo de mercado, independientemente de su clasificación contable y de acuerdo con las condiciones señaladas a continuación.</w:t>
      </w:r>
    </w:p>
    <w:p w14:paraId="1DBF5BE1" w14:textId="77777777" w:rsidR="000A028A" w:rsidRPr="00653E80" w:rsidRDefault="000A028A" w:rsidP="00DC17E7">
      <w:pPr>
        <w:spacing w:after="0" w:line="240" w:lineRule="auto"/>
        <w:jc w:val="both"/>
        <w:rPr>
          <w:rFonts w:ascii="Verdana" w:eastAsia="Times New Roman" w:hAnsi="Verdana" w:cs="Arial"/>
          <w:sz w:val="20"/>
          <w:szCs w:val="20"/>
          <w:lang w:val="es-ES" w:eastAsia="es-ES"/>
        </w:rPr>
      </w:pPr>
    </w:p>
    <w:p w14:paraId="355A076C" w14:textId="77777777" w:rsidR="00DC17E7" w:rsidRPr="00695128" w:rsidRDefault="00DC17E7" w:rsidP="00695128">
      <w:pPr>
        <w:pStyle w:val="Prrafodelista"/>
        <w:numPr>
          <w:ilvl w:val="0"/>
          <w:numId w:val="39"/>
        </w:numPr>
        <w:spacing w:after="0" w:line="240" w:lineRule="auto"/>
        <w:ind w:left="284" w:hanging="284"/>
        <w:jc w:val="both"/>
        <w:rPr>
          <w:rFonts w:ascii="Verdana" w:eastAsia="Times New Roman" w:hAnsi="Verdana" w:cs="Arial"/>
          <w:b/>
          <w:bCs/>
          <w:sz w:val="20"/>
          <w:szCs w:val="20"/>
          <w:lang w:val="es-ES" w:eastAsia="es-ES"/>
        </w:rPr>
      </w:pPr>
      <w:r w:rsidRPr="00695128">
        <w:rPr>
          <w:rFonts w:ascii="Verdana" w:eastAsia="Times New Roman" w:hAnsi="Verdana" w:cs="Arial"/>
          <w:b/>
          <w:bCs/>
          <w:sz w:val="20"/>
          <w:szCs w:val="20"/>
          <w:lang w:val="es-ES" w:eastAsia="es-ES"/>
        </w:rPr>
        <w:t>Posiciones en derivados</w:t>
      </w:r>
    </w:p>
    <w:p w14:paraId="59DB7ECB" w14:textId="77777777" w:rsidR="00DC17E7" w:rsidRPr="00653E80" w:rsidRDefault="00DC17E7" w:rsidP="00DC17E7">
      <w:pPr>
        <w:spacing w:after="0" w:line="240" w:lineRule="auto"/>
        <w:jc w:val="both"/>
        <w:rPr>
          <w:rFonts w:ascii="Verdana" w:eastAsia="Times New Roman" w:hAnsi="Verdana" w:cs="Arial"/>
          <w:b/>
          <w:sz w:val="20"/>
          <w:szCs w:val="20"/>
          <w:lang w:val="es-ES" w:eastAsia="es-ES"/>
        </w:rPr>
      </w:pPr>
    </w:p>
    <w:p w14:paraId="549C134D" w14:textId="77777777"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Pr>
          <w:rFonts w:ascii="Verdana" w:hAnsi="Verdana"/>
          <w:sz w:val="20"/>
          <w:szCs w:val="20"/>
        </w:rPr>
        <w:t>5</w:t>
      </w:r>
      <w:r w:rsidRPr="000E0B7B">
        <w:rPr>
          <w:rFonts w:ascii="Verdana" w:hAnsi="Verdana"/>
          <w:sz w:val="20"/>
          <w:szCs w:val="20"/>
        </w:rPr>
        <w:t>.</w:t>
      </w:r>
    </w:p>
    <w:p w14:paraId="029D5DD9" w14:textId="4AC4849E" w:rsidR="00DC17E7" w:rsidRPr="00653E80"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Para su inclusión en el cálculo de la exposición a riesgos de mercado, los instrumentos derivados deben ser convertidos en posiciones de los instrumentos subyacentes correspondientes. Los montos reportados corresponderán al valor de mercado de las </w:t>
      </w:r>
      <w:r w:rsidRPr="00653E80">
        <w:rPr>
          <w:rFonts w:ascii="Verdana" w:eastAsia="Times New Roman" w:hAnsi="Verdana" w:cs="Arial"/>
          <w:sz w:val="20"/>
          <w:szCs w:val="20"/>
          <w:lang w:val="es-ES" w:eastAsia="es-ES"/>
        </w:rPr>
        <w:lastRenderedPageBreak/>
        <w:t>posiciones nocionales reportadas. A continuación, se presentan instrucciones referentes al tratamiento de algunos instrumentos específicos.</w:t>
      </w:r>
    </w:p>
    <w:p w14:paraId="6A25FE62"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4E9CEA6B" w14:textId="72896233" w:rsidR="00DC17E7" w:rsidRPr="007E6FF4" w:rsidRDefault="00DC17E7" w:rsidP="007E6FF4">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7E6FF4">
        <w:rPr>
          <w:rFonts w:ascii="Verdana" w:eastAsia="Times New Roman" w:hAnsi="Verdana" w:cs="Arial"/>
          <w:b/>
          <w:bCs/>
          <w:sz w:val="20"/>
          <w:szCs w:val="20"/>
          <w:lang w:val="es-ES" w:eastAsia="es-ES"/>
        </w:rPr>
        <w:t xml:space="preserve">Futuros y </w:t>
      </w:r>
      <w:r w:rsidR="00A03E7F">
        <w:rPr>
          <w:rFonts w:ascii="Verdana" w:eastAsia="Times New Roman" w:hAnsi="Verdana" w:cs="Arial"/>
          <w:b/>
          <w:bCs/>
          <w:sz w:val="20"/>
          <w:szCs w:val="20"/>
          <w:lang w:val="es-ES" w:eastAsia="es-ES"/>
        </w:rPr>
        <w:t>f</w:t>
      </w:r>
      <w:r w:rsidRPr="007E6FF4">
        <w:rPr>
          <w:rFonts w:ascii="Verdana" w:eastAsia="Times New Roman" w:hAnsi="Verdana" w:cs="Arial"/>
          <w:b/>
          <w:bCs/>
          <w:sz w:val="20"/>
          <w:szCs w:val="20"/>
          <w:lang w:val="es-ES" w:eastAsia="es-ES"/>
        </w:rPr>
        <w:t>orwards sobre tasa de interés</w:t>
      </w:r>
    </w:p>
    <w:p w14:paraId="74D9DC2A"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4F9187F7" w14:textId="08FDEDD8" w:rsidR="007E6FF4" w:rsidRPr="000E0B7B" w:rsidRDefault="007E6FF4" w:rsidP="007E6FF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6</w:t>
      </w:r>
      <w:r w:rsidRPr="000E0B7B">
        <w:rPr>
          <w:rFonts w:ascii="Verdana" w:hAnsi="Verdana"/>
          <w:sz w:val="20"/>
          <w:szCs w:val="20"/>
        </w:rPr>
        <w:t>.</w:t>
      </w:r>
    </w:p>
    <w:p w14:paraId="64E03A88" w14:textId="2F977E2D" w:rsidR="00DC17E7" w:rsidRPr="007E6FF4" w:rsidRDefault="00DC17E7" w:rsidP="007E6FF4">
      <w:pPr>
        <w:spacing w:after="0" w:line="240" w:lineRule="auto"/>
        <w:jc w:val="both"/>
        <w:rPr>
          <w:rFonts w:ascii="Verdana" w:eastAsia="Times New Roman" w:hAnsi="Verdana" w:cs="Arial"/>
          <w:sz w:val="20"/>
          <w:szCs w:val="20"/>
          <w:lang w:val="es-ES" w:eastAsia="es-ES"/>
        </w:rPr>
      </w:pPr>
      <w:r w:rsidRPr="007E6FF4">
        <w:rPr>
          <w:rFonts w:ascii="Verdana" w:eastAsia="Times New Roman" w:hAnsi="Verdana" w:cs="Arial"/>
          <w:sz w:val="20"/>
          <w:szCs w:val="20"/>
          <w:lang w:val="es-ES" w:eastAsia="es-ES"/>
        </w:rPr>
        <w:t xml:space="preserve">Estos instrumentos deberán ser tratados como 2 posiciones nocionales en bonos </w:t>
      </w:r>
      <w:proofErr w:type="gramStart"/>
      <w:r w:rsidRPr="007E6FF4">
        <w:rPr>
          <w:rFonts w:ascii="Verdana" w:eastAsia="Times New Roman" w:hAnsi="Verdana" w:cs="Arial"/>
          <w:sz w:val="20"/>
          <w:szCs w:val="20"/>
          <w:lang w:val="es-ES" w:eastAsia="es-ES"/>
        </w:rPr>
        <w:t>cero cupón</w:t>
      </w:r>
      <w:proofErr w:type="gramEnd"/>
      <w:r w:rsidRPr="007E6FF4">
        <w:rPr>
          <w:rFonts w:ascii="Verdana" w:eastAsia="Times New Roman" w:hAnsi="Verdana" w:cs="Arial"/>
          <w:sz w:val="20"/>
          <w:szCs w:val="20"/>
          <w:lang w:val="es-ES" w:eastAsia="es-ES"/>
        </w:rPr>
        <w:t>. Cuando la entidad vigilada vende un futuro sobre una tasa de interés o compra un forward sobre tasa de interés, es decir, que se compromete a pagar una tasa de interés durante un periodo de tiempo en el futuro, esta posición se descompone en:</w:t>
      </w:r>
    </w:p>
    <w:p w14:paraId="70F0BA6D" w14:textId="77777777" w:rsidR="007E6FF4" w:rsidRDefault="007E6FF4" w:rsidP="007E6FF4">
      <w:pPr>
        <w:spacing w:after="0" w:line="240" w:lineRule="auto"/>
        <w:jc w:val="both"/>
        <w:rPr>
          <w:rFonts w:ascii="Verdana" w:eastAsia="Times New Roman" w:hAnsi="Verdana" w:cs="Arial"/>
          <w:sz w:val="20"/>
          <w:szCs w:val="20"/>
          <w:lang w:val="es-ES" w:eastAsia="es-ES"/>
        </w:rPr>
      </w:pPr>
    </w:p>
    <w:p w14:paraId="2B2D132F" w14:textId="77777777" w:rsidR="007E6FF4" w:rsidRDefault="00DC17E7" w:rsidP="007E6FF4">
      <w:pPr>
        <w:pStyle w:val="Prrafodelista"/>
        <w:numPr>
          <w:ilvl w:val="0"/>
          <w:numId w:val="41"/>
        </w:numPr>
        <w:spacing w:after="0" w:line="240" w:lineRule="auto"/>
        <w:ind w:left="567" w:hanging="567"/>
        <w:jc w:val="both"/>
        <w:rPr>
          <w:rFonts w:ascii="Verdana" w:eastAsia="Times New Roman" w:hAnsi="Verdana" w:cs="Arial"/>
          <w:sz w:val="20"/>
          <w:szCs w:val="20"/>
          <w:lang w:val="es-ES" w:eastAsia="es-ES"/>
        </w:rPr>
      </w:pPr>
      <w:r w:rsidRPr="007E6FF4">
        <w:rPr>
          <w:rFonts w:ascii="Verdana" w:eastAsia="Times New Roman" w:hAnsi="Verdana" w:cs="Arial"/>
          <w:sz w:val="20"/>
          <w:szCs w:val="20"/>
          <w:lang w:val="es-ES" w:eastAsia="es-ES"/>
        </w:rPr>
        <w:t xml:space="preserve">Una posición nocional corta en un bono </w:t>
      </w:r>
      <w:proofErr w:type="gramStart"/>
      <w:r w:rsidRPr="007E6FF4">
        <w:rPr>
          <w:rFonts w:ascii="Verdana" w:eastAsia="Times New Roman" w:hAnsi="Verdana" w:cs="Arial"/>
          <w:sz w:val="20"/>
          <w:szCs w:val="20"/>
          <w:lang w:val="es-ES" w:eastAsia="es-ES"/>
        </w:rPr>
        <w:t>cero cupón</w:t>
      </w:r>
      <w:proofErr w:type="gramEnd"/>
      <w:r w:rsidRPr="007E6FF4">
        <w:rPr>
          <w:rFonts w:ascii="Verdana" w:eastAsia="Times New Roman" w:hAnsi="Verdana" w:cs="Arial"/>
          <w:sz w:val="20"/>
          <w:szCs w:val="20"/>
          <w:lang w:val="es-ES" w:eastAsia="es-ES"/>
        </w:rPr>
        <w:t xml:space="preserve"> con madurez residual igual al tiempo que resta hasta el inicio del contrato más el periodo efectivo de pago de la tasa de interés.</w:t>
      </w:r>
    </w:p>
    <w:p w14:paraId="3BBE8EF2" w14:textId="77777777" w:rsidR="007E6FF4" w:rsidRDefault="007E6FF4" w:rsidP="007E6FF4">
      <w:pPr>
        <w:pStyle w:val="Prrafodelista"/>
        <w:spacing w:after="0" w:line="240" w:lineRule="auto"/>
        <w:ind w:left="567"/>
        <w:jc w:val="both"/>
        <w:rPr>
          <w:rFonts w:ascii="Verdana" w:eastAsia="Times New Roman" w:hAnsi="Verdana" w:cs="Arial"/>
          <w:sz w:val="20"/>
          <w:szCs w:val="20"/>
          <w:lang w:val="es-ES" w:eastAsia="es-ES"/>
        </w:rPr>
      </w:pPr>
    </w:p>
    <w:p w14:paraId="3F5D5938" w14:textId="7B45B1AF" w:rsidR="00DC17E7" w:rsidRPr="007E6FF4" w:rsidRDefault="00DC17E7" w:rsidP="007E6FF4">
      <w:pPr>
        <w:pStyle w:val="Prrafodelista"/>
        <w:numPr>
          <w:ilvl w:val="0"/>
          <w:numId w:val="41"/>
        </w:numPr>
        <w:spacing w:after="0" w:line="240" w:lineRule="auto"/>
        <w:ind w:left="567" w:hanging="567"/>
        <w:jc w:val="both"/>
        <w:rPr>
          <w:rFonts w:ascii="Verdana" w:eastAsia="Times New Roman" w:hAnsi="Verdana" w:cs="Arial"/>
          <w:sz w:val="20"/>
          <w:szCs w:val="20"/>
          <w:lang w:val="es-ES" w:eastAsia="es-ES"/>
        </w:rPr>
      </w:pPr>
      <w:r w:rsidRPr="007E6FF4">
        <w:rPr>
          <w:rFonts w:ascii="Verdana" w:eastAsia="Times New Roman" w:hAnsi="Verdana" w:cs="Arial"/>
          <w:sz w:val="20"/>
          <w:szCs w:val="20"/>
          <w:lang w:val="es-ES" w:eastAsia="es-ES"/>
        </w:rPr>
        <w:t xml:space="preserve">Una posición nocional larga en un bono </w:t>
      </w:r>
      <w:proofErr w:type="gramStart"/>
      <w:r w:rsidRPr="007E6FF4">
        <w:rPr>
          <w:rFonts w:ascii="Verdana" w:eastAsia="Times New Roman" w:hAnsi="Verdana" w:cs="Arial"/>
          <w:sz w:val="20"/>
          <w:szCs w:val="20"/>
          <w:lang w:val="es-ES" w:eastAsia="es-ES"/>
        </w:rPr>
        <w:t>cero cupón</w:t>
      </w:r>
      <w:proofErr w:type="gramEnd"/>
      <w:r w:rsidRPr="007E6FF4">
        <w:rPr>
          <w:rFonts w:ascii="Verdana" w:eastAsia="Times New Roman" w:hAnsi="Verdana" w:cs="Arial"/>
          <w:sz w:val="20"/>
          <w:szCs w:val="20"/>
          <w:lang w:val="es-ES" w:eastAsia="es-ES"/>
        </w:rPr>
        <w:t xml:space="preserve"> con madurez residual igual al tiempo que resta hasta el inicio del contrato.</w:t>
      </w:r>
    </w:p>
    <w:p w14:paraId="7B348E3C"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5806E0C6" w14:textId="06402E26" w:rsidR="007E6FF4" w:rsidRPr="000E0B7B" w:rsidRDefault="007E6FF4" w:rsidP="007E6FF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7</w:t>
      </w:r>
      <w:r w:rsidRPr="000E0B7B">
        <w:rPr>
          <w:rFonts w:ascii="Verdana" w:hAnsi="Verdana"/>
          <w:sz w:val="20"/>
          <w:szCs w:val="20"/>
        </w:rPr>
        <w:t>.</w:t>
      </w:r>
    </w:p>
    <w:p w14:paraId="2A418C49" w14:textId="088874C4" w:rsidR="00DC17E7" w:rsidRPr="007E6FF4" w:rsidRDefault="00DC17E7" w:rsidP="007E6FF4">
      <w:pPr>
        <w:spacing w:after="0" w:line="240" w:lineRule="auto"/>
        <w:jc w:val="both"/>
        <w:rPr>
          <w:rFonts w:ascii="Verdana" w:eastAsia="Times New Roman" w:hAnsi="Verdana" w:cs="Arial"/>
          <w:sz w:val="20"/>
          <w:szCs w:val="20"/>
          <w:lang w:val="es-ES" w:eastAsia="es-ES"/>
        </w:rPr>
      </w:pPr>
      <w:r w:rsidRPr="007E6FF4">
        <w:rPr>
          <w:rFonts w:ascii="Verdana" w:eastAsia="Times New Roman" w:hAnsi="Verdana" w:cs="Arial"/>
          <w:sz w:val="20"/>
          <w:szCs w:val="20"/>
          <w:lang w:val="es-ES" w:eastAsia="es-ES"/>
        </w:rPr>
        <w:t>Para el caso contrario (la entidad compra un futuro o vende un FRA), la primera posición nocional descrita es larga y la segunda corta.</w:t>
      </w:r>
    </w:p>
    <w:p w14:paraId="2FAF82FE" w14:textId="77777777" w:rsidR="00DC17E7" w:rsidRPr="00653E80" w:rsidRDefault="00DC17E7" w:rsidP="00DC17E7">
      <w:pPr>
        <w:spacing w:after="0" w:line="240" w:lineRule="auto"/>
        <w:ind w:left="284"/>
        <w:jc w:val="both"/>
        <w:rPr>
          <w:rFonts w:ascii="Verdana" w:eastAsia="Times New Roman" w:hAnsi="Verdana" w:cs="Arial"/>
          <w:sz w:val="20"/>
          <w:szCs w:val="20"/>
          <w:lang w:val="es-ES" w:eastAsia="es-ES"/>
        </w:rPr>
      </w:pPr>
    </w:p>
    <w:p w14:paraId="0AD8F791" w14:textId="48F60121" w:rsidR="007E6FF4" w:rsidRPr="000E0B7B" w:rsidRDefault="007E6FF4" w:rsidP="007E6FF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8</w:t>
      </w:r>
      <w:r w:rsidRPr="000E0B7B">
        <w:rPr>
          <w:rFonts w:ascii="Verdana" w:hAnsi="Verdana"/>
          <w:sz w:val="20"/>
          <w:szCs w:val="20"/>
        </w:rPr>
        <w:t>.</w:t>
      </w:r>
    </w:p>
    <w:p w14:paraId="7B412622" w14:textId="4C3B6B41" w:rsidR="00DC17E7" w:rsidRPr="00F75CE5" w:rsidRDefault="00DC17E7" w:rsidP="007E6FF4">
      <w:pPr>
        <w:spacing w:after="0" w:line="240" w:lineRule="auto"/>
        <w:jc w:val="both"/>
        <w:rPr>
          <w:rFonts w:ascii="Verdana" w:eastAsia="Times New Roman" w:hAnsi="Verdana" w:cs="Arial"/>
          <w:sz w:val="20"/>
          <w:szCs w:val="20"/>
          <w:lang w:val="es-ES" w:eastAsia="es-ES"/>
        </w:rPr>
      </w:pPr>
      <w:r w:rsidRPr="00F75CE5">
        <w:rPr>
          <w:rFonts w:ascii="Verdana" w:eastAsia="Times New Roman" w:hAnsi="Verdana" w:cs="Arial"/>
          <w:sz w:val="20"/>
          <w:szCs w:val="20"/>
          <w:lang w:val="es-ES" w:eastAsia="es-ES"/>
        </w:rPr>
        <w:t>Para efectos de los futuros y forwards sobre variaciones de índices no accionarios les será aplicable lo establecido en</w:t>
      </w:r>
      <w:r w:rsidR="00007B3F" w:rsidRPr="00F75CE5">
        <w:rPr>
          <w:rFonts w:ascii="Verdana" w:eastAsia="Times New Roman" w:hAnsi="Verdana" w:cs="Arial"/>
          <w:sz w:val="20"/>
          <w:szCs w:val="20"/>
          <w:lang w:val="es-ES" w:eastAsia="es-ES"/>
        </w:rPr>
        <w:t xml:space="preserve">tre los párrafos 1.1.A7.6. y 1.1.A7.8. </w:t>
      </w:r>
      <w:r w:rsidRPr="00F75CE5">
        <w:rPr>
          <w:rFonts w:ascii="Verdana" w:eastAsia="Times New Roman" w:hAnsi="Verdana" w:cs="Arial"/>
          <w:sz w:val="20"/>
          <w:szCs w:val="20"/>
          <w:lang w:val="es-ES" w:eastAsia="es-ES"/>
        </w:rPr>
        <w:t xml:space="preserve">(i.e. futuro sobre inflación). </w:t>
      </w:r>
    </w:p>
    <w:p w14:paraId="0D60DAB8" w14:textId="77777777" w:rsidR="00DC17E7" w:rsidRPr="00F75CE5" w:rsidRDefault="00DC17E7" w:rsidP="00DC17E7">
      <w:pPr>
        <w:spacing w:after="0" w:line="240" w:lineRule="auto"/>
        <w:jc w:val="both"/>
        <w:rPr>
          <w:rFonts w:ascii="Verdana" w:eastAsia="Times New Roman" w:hAnsi="Verdana" w:cs="Arial"/>
          <w:sz w:val="20"/>
          <w:szCs w:val="20"/>
          <w:lang w:val="es-ES" w:eastAsia="es-ES"/>
        </w:rPr>
      </w:pPr>
    </w:p>
    <w:p w14:paraId="57B37BC4" w14:textId="793227DE" w:rsidR="00DC17E7" w:rsidRPr="00F75CE5" w:rsidRDefault="00DC17E7" w:rsidP="007E6FF4">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F75CE5">
        <w:rPr>
          <w:rFonts w:ascii="Verdana" w:eastAsia="Times New Roman" w:hAnsi="Verdana" w:cs="Arial"/>
          <w:b/>
          <w:bCs/>
          <w:sz w:val="20"/>
          <w:szCs w:val="20"/>
          <w:lang w:val="es-ES" w:eastAsia="es-ES"/>
        </w:rPr>
        <w:t xml:space="preserve">Futuros, </w:t>
      </w:r>
      <w:r w:rsidR="00715350" w:rsidRPr="00F75CE5">
        <w:rPr>
          <w:rFonts w:ascii="Verdana" w:eastAsia="Times New Roman" w:hAnsi="Verdana" w:cs="Arial"/>
          <w:b/>
          <w:bCs/>
          <w:sz w:val="20"/>
          <w:szCs w:val="20"/>
          <w:lang w:val="es-ES" w:eastAsia="es-ES"/>
        </w:rPr>
        <w:t>f</w:t>
      </w:r>
      <w:r w:rsidRPr="00F75CE5">
        <w:rPr>
          <w:rFonts w:ascii="Verdana" w:eastAsia="Times New Roman" w:hAnsi="Verdana" w:cs="Arial"/>
          <w:b/>
          <w:bCs/>
          <w:sz w:val="20"/>
          <w:szCs w:val="20"/>
          <w:lang w:val="es-ES" w:eastAsia="es-ES"/>
        </w:rPr>
        <w:t xml:space="preserve">orwards y </w:t>
      </w:r>
      <w:r w:rsidR="00715350" w:rsidRPr="00F75CE5">
        <w:rPr>
          <w:rFonts w:ascii="Verdana" w:eastAsia="Times New Roman" w:hAnsi="Verdana" w:cs="Arial"/>
          <w:b/>
          <w:bCs/>
          <w:sz w:val="20"/>
          <w:szCs w:val="20"/>
          <w:lang w:val="es-ES" w:eastAsia="es-ES"/>
        </w:rPr>
        <w:t>o</w:t>
      </w:r>
      <w:r w:rsidRPr="00F75CE5">
        <w:rPr>
          <w:rFonts w:ascii="Verdana" w:eastAsia="Times New Roman" w:hAnsi="Verdana" w:cs="Arial"/>
          <w:b/>
          <w:bCs/>
          <w:sz w:val="20"/>
          <w:szCs w:val="20"/>
          <w:lang w:val="es-ES" w:eastAsia="es-ES"/>
        </w:rPr>
        <w:t xml:space="preserve">peraciones a </w:t>
      </w:r>
      <w:r w:rsidR="00715350" w:rsidRPr="00F75CE5">
        <w:rPr>
          <w:rFonts w:ascii="Verdana" w:eastAsia="Times New Roman" w:hAnsi="Verdana" w:cs="Arial"/>
          <w:b/>
          <w:bCs/>
          <w:sz w:val="20"/>
          <w:szCs w:val="20"/>
          <w:lang w:val="es-ES" w:eastAsia="es-ES"/>
        </w:rPr>
        <w:t>p</w:t>
      </w:r>
      <w:r w:rsidRPr="00F75CE5">
        <w:rPr>
          <w:rFonts w:ascii="Verdana" w:eastAsia="Times New Roman" w:hAnsi="Verdana" w:cs="Arial"/>
          <w:b/>
          <w:bCs/>
          <w:sz w:val="20"/>
          <w:szCs w:val="20"/>
          <w:lang w:val="es-ES" w:eastAsia="es-ES"/>
        </w:rPr>
        <w:t>lazo sobre títulos de deuda</w:t>
      </w:r>
    </w:p>
    <w:p w14:paraId="1DD0A866" w14:textId="77777777" w:rsidR="00F14847" w:rsidRPr="00F75CE5" w:rsidRDefault="00F14847" w:rsidP="00F14847">
      <w:pPr>
        <w:spacing w:after="0" w:line="240" w:lineRule="auto"/>
        <w:jc w:val="both"/>
        <w:rPr>
          <w:rFonts w:ascii="Verdana" w:eastAsia="Times New Roman" w:hAnsi="Verdana" w:cs="Arial"/>
          <w:sz w:val="20"/>
          <w:szCs w:val="20"/>
          <w:lang w:val="es-ES" w:eastAsia="es-ES"/>
        </w:rPr>
      </w:pPr>
    </w:p>
    <w:p w14:paraId="68D91FF4" w14:textId="3B448337" w:rsidR="00F14847" w:rsidRPr="000E0B7B" w:rsidRDefault="00F14847" w:rsidP="00F14847">
      <w:pPr>
        <w:spacing w:after="0"/>
        <w:rPr>
          <w:rFonts w:ascii="Verdana" w:hAnsi="Verdana"/>
          <w:sz w:val="20"/>
          <w:szCs w:val="20"/>
        </w:rPr>
      </w:pPr>
      <w:r w:rsidRPr="00F75CE5">
        <w:rPr>
          <w:rFonts w:ascii="Verdana" w:hAnsi="Verdana"/>
          <w:sz w:val="20"/>
          <w:szCs w:val="20"/>
        </w:rPr>
        <w:t>1.1.A7.</w:t>
      </w:r>
      <w:r w:rsidR="00D966B1" w:rsidRPr="00F75CE5">
        <w:rPr>
          <w:rFonts w:ascii="Verdana" w:hAnsi="Verdana"/>
          <w:sz w:val="20"/>
          <w:szCs w:val="20"/>
        </w:rPr>
        <w:t>9</w:t>
      </w:r>
      <w:r w:rsidRPr="00F75CE5">
        <w:rPr>
          <w:rFonts w:ascii="Verdana" w:hAnsi="Verdana"/>
          <w:sz w:val="20"/>
          <w:szCs w:val="20"/>
        </w:rPr>
        <w:t>.</w:t>
      </w:r>
    </w:p>
    <w:p w14:paraId="6167963A" w14:textId="69B6BB77" w:rsidR="00DC17E7" w:rsidRPr="00F14847" w:rsidRDefault="00F14847" w:rsidP="00F14847">
      <w:pPr>
        <w:spacing w:after="0" w:line="240" w:lineRule="auto"/>
        <w:jc w:val="both"/>
        <w:rPr>
          <w:rFonts w:ascii="Verdana" w:eastAsia="Times New Roman" w:hAnsi="Verdana" w:cs="Arial"/>
          <w:sz w:val="20"/>
          <w:szCs w:val="20"/>
          <w:lang w:val="es-ES" w:eastAsia="es-ES"/>
        </w:rPr>
      </w:pPr>
      <w:r w:rsidRPr="007E6FF4">
        <w:rPr>
          <w:rFonts w:ascii="Verdana" w:eastAsia="Times New Roman" w:hAnsi="Verdana" w:cs="Arial"/>
          <w:sz w:val="20"/>
          <w:szCs w:val="20"/>
          <w:lang w:val="es-ES" w:eastAsia="es-ES"/>
        </w:rPr>
        <w:t xml:space="preserve">Estos </w:t>
      </w:r>
      <w:r w:rsidR="00DC17E7" w:rsidRPr="00F14847">
        <w:rPr>
          <w:rFonts w:ascii="Verdana" w:eastAsia="Times New Roman" w:hAnsi="Verdana" w:cs="Arial"/>
          <w:sz w:val="20"/>
          <w:szCs w:val="20"/>
          <w:lang w:val="es-ES" w:eastAsia="es-ES"/>
        </w:rPr>
        <w:t>instrumentos deberán ser tratados como 2 posiciones nocionales, una en el título subyacente y otra en un bono cero cupón. Cuando la entidad tenga una posición larga en las operaciones de que trata</w:t>
      </w:r>
      <w:r w:rsidR="00715350">
        <w:rPr>
          <w:rFonts w:ascii="Verdana" w:eastAsia="Times New Roman" w:hAnsi="Verdana" w:cs="Arial"/>
          <w:sz w:val="20"/>
          <w:szCs w:val="20"/>
          <w:lang w:val="es-ES" w:eastAsia="es-ES"/>
        </w:rPr>
        <w:t xml:space="preserve">n los párrafos </w:t>
      </w:r>
      <w:r w:rsidR="00051D53">
        <w:rPr>
          <w:rFonts w:ascii="Verdana" w:eastAsia="Times New Roman" w:hAnsi="Verdana" w:cs="Arial"/>
          <w:sz w:val="20"/>
          <w:szCs w:val="20"/>
          <w:lang w:val="es-ES" w:eastAsia="es-ES"/>
        </w:rPr>
        <w:t xml:space="preserve">1.1.A7.9. al 1.1.A7.13. </w:t>
      </w:r>
      <w:r w:rsidR="00DC17E7" w:rsidRPr="00F14847">
        <w:rPr>
          <w:rFonts w:ascii="Verdana" w:eastAsia="Times New Roman" w:hAnsi="Verdana" w:cs="Arial"/>
          <w:sz w:val="20"/>
          <w:szCs w:val="20"/>
          <w:lang w:val="es-ES" w:eastAsia="es-ES"/>
        </w:rPr>
        <w:t>(es decir que se compromete a comprar un título a un precio previamente establecido en un punto de tiempo en el futuro), esta posición se descompone en:</w:t>
      </w:r>
    </w:p>
    <w:p w14:paraId="5DFB0E87"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3CC3503C" w14:textId="77777777" w:rsidR="00F14847" w:rsidRDefault="00DC17E7" w:rsidP="00F14847">
      <w:pPr>
        <w:pStyle w:val="Prrafodelista"/>
        <w:numPr>
          <w:ilvl w:val="0"/>
          <w:numId w:val="42"/>
        </w:numPr>
        <w:spacing w:after="0" w:line="240" w:lineRule="auto"/>
        <w:ind w:left="567" w:hanging="567"/>
        <w:jc w:val="both"/>
        <w:rPr>
          <w:rFonts w:ascii="Verdana" w:eastAsia="Times New Roman" w:hAnsi="Verdana" w:cs="Arial"/>
          <w:sz w:val="20"/>
          <w:szCs w:val="20"/>
          <w:lang w:val="es-ES" w:eastAsia="es-ES"/>
        </w:rPr>
      </w:pPr>
      <w:r w:rsidRPr="00F14847">
        <w:rPr>
          <w:rFonts w:ascii="Verdana" w:eastAsia="Times New Roman" w:hAnsi="Verdana" w:cs="Arial"/>
          <w:sz w:val="20"/>
          <w:szCs w:val="20"/>
          <w:lang w:val="es-ES" w:eastAsia="es-ES"/>
        </w:rPr>
        <w:t>Una posición nocional larga en el título subyacente.</w:t>
      </w:r>
    </w:p>
    <w:p w14:paraId="447CCB83" w14:textId="77777777" w:rsidR="00F14847" w:rsidRDefault="00F14847" w:rsidP="00F14847">
      <w:pPr>
        <w:pStyle w:val="Prrafodelista"/>
        <w:spacing w:after="0" w:line="240" w:lineRule="auto"/>
        <w:ind w:left="567"/>
        <w:jc w:val="both"/>
        <w:rPr>
          <w:rFonts w:ascii="Verdana" w:eastAsia="Times New Roman" w:hAnsi="Verdana" w:cs="Arial"/>
          <w:sz w:val="20"/>
          <w:szCs w:val="20"/>
          <w:lang w:val="es-ES" w:eastAsia="es-ES"/>
        </w:rPr>
      </w:pPr>
    </w:p>
    <w:p w14:paraId="76FA969D" w14:textId="2BE9D428" w:rsidR="00DC17E7" w:rsidRPr="00F14847" w:rsidRDefault="00DC17E7" w:rsidP="00F14847">
      <w:pPr>
        <w:pStyle w:val="Prrafodelista"/>
        <w:numPr>
          <w:ilvl w:val="0"/>
          <w:numId w:val="42"/>
        </w:numPr>
        <w:spacing w:after="0" w:line="240" w:lineRule="auto"/>
        <w:ind w:left="567" w:hanging="567"/>
        <w:jc w:val="both"/>
        <w:rPr>
          <w:rFonts w:ascii="Verdana" w:eastAsia="Times New Roman" w:hAnsi="Verdana" w:cs="Arial"/>
          <w:sz w:val="20"/>
          <w:szCs w:val="20"/>
          <w:lang w:val="es-ES" w:eastAsia="es-ES"/>
        </w:rPr>
      </w:pPr>
      <w:r w:rsidRPr="00F14847">
        <w:rPr>
          <w:rFonts w:ascii="Verdana" w:eastAsia="Times New Roman" w:hAnsi="Verdana" w:cs="Arial"/>
          <w:sz w:val="20"/>
          <w:szCs w:val="20"/>
          <w:lang w:val="es-ES" w:eastAsia="es-ES"/>
        </w:rPr>
        <w:t>Una posición nocional corta en un bono cero cupón con madurez residual igual al tiempo que resta para el cumplimiento del contrato (el valor nominal de esta posición corresponde al precio pactado).</w:t>
      </w:r>
    </w:p>
    <w:p w14:paraId="0670EF5D"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76B5BDC9" w14:textId="21DB7DDD" w:rsidR="00F14847" w:rsidRPr="000E0B7B" w:rsidRDefault="00F14847" w:rsidP="00F1484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10</w:t>
      </w:r>
      <w:r w:rsidRPr="000E0B7B">
        <w:rPr>
          <w:rFonts w:ascii="Verdana" w:hAnsi="Verdana"/>
          <w:sz w:val="20"/>
          <w:szCs w:val="20"/>
        </w:rPr>
        <w:t>.</w:t>
      </w:r>
    </w:p>
    <w:p w14:paraId="359B6CAC" w14:textId="18C577C9" w:rsidR="00DC17E7" w:rsidRPr="00F14847" w:rsidRDefault="00DC17E7" w:rsidP="00F14847">
      <w:pPr>
        <w:spacing w:after="0" w:line="240" w:lineRule="auto"/>
        <w:jc w:val="both"/>
        <w:rPr>
          <w:rFonts w:ascii="Verdana" w:eastAsia="Times New Roman" w:hAnsi="Verdana" w:cs="Arial"/>
          <w:sz w:val="20"/>
          <w:szCs w:val="20"/>
          <w:lang w:val="es-ES" w:eastAsia="es-ES"/>
        </w:rPr>
      </w:pPr>
      <w:r w:rsidRPr="00F14847">
        <w:rPr>
          <w:rFonts w:ascii="Verdana" w:eastAsia="Times New Roman" w:hAnsi="Verdana" w:cs="Arial"/>
          <w:sz w:val="20"/>
          <w:szCs w:val="20"/>
          <w:lang w:val="es-ES" w:eastAsia="es-ES"/>
        </w:rPr>
        <w:t>Para el caso contrario (posición corta en el futuro, el forward o la operación a plazo), la primera posición nocional descrita es corta y la segunda larga.</w:t>
      </w:r>
    </w:p>
    <w:p w14:paraId="26A4CA91" w14:textId="77777777" w:rsidR="00DC17E7" w:rsidRPr="00653E80" w:rsidRDefault="00DC17E7" w:rsidP="00DD2F76">
      <w:pPr>
        <w:tabs>
          <w:tab w:val="left" w:pos="6946"/>
        </w:tabs>
        <w:spacing w:after="0" w:line="240" w:lineRule="auto"/>
        <w:jc w:val="both"/>
        <w:rPr>
          <w:rFonts w:ascii="Verdana" w:eastAsia="Times New Roman" w:hAnsi="Verdana" w:cs="Arial"/>
          <w:sz w:val="20"/>
          <w:szCs w:val="20"/>
          <w:lang w:val="es-ES" w:eastAsia="es-ES"/>
        </w:rPr>
      </w:pPr>
    </w:p>
    <w:p w14:paraId="5F2D7F5E" w14:textId="77B64EA2" w:rsidR="00F14847" w:rsidRPr="000E0B7B" w:rsidRDefault="00F14847" w:rsidP="00F1484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11</w:t>
      </w:r>
      <w:r w:rsidRPr="000E0B7B">
        <w:rPr>
          <w:rFonts w:ascii="Verdana" w:hAnsi="Verdana"/>
          <w:sz w:val="20"/>
          <w:szCs w:val="20"/>
        </w:rPr>
        <w:t>.</w:t>
      </w:r>
    </w:p>
    <w:p w14:paraId="1AFBEC7A" w14:textId="39E54558" w:rsidR="00DC17E7" w:rsidRPr="00F14847" w:rsidRDefault="00DC17E7" w:rsidP="00F14847">
      <w:pPr>
        <w:spacing w:after="0" w:line="240" w:lineRule="auto"/>
        <w:jc w:val="both"/>
        <w:rPr>
          <w:rFonts w:ascii="Verdana" w:eastAsia="Times New Roman" w:hAnsi="Verdana" w:cs="Arial"/>
          <w:sz w:val="20"/>
          <w:szCs w:val="20"/>
          <w:lang w:val="es-ES" w:eastAsia="es-ES"/>
        </w:rPr>
      </w:pPr>
      <w:r w:rsidRPr="00F14847">
        <w:rPr>
          <w:rFonts w:ascii="Verdana" w:eastAsia="Times New Roman" w:hAnsi="Verdana" w:cs="Arial"/>
          <w:sz w:val="20"/>
          <w:szCs w:val="20"/>
          <w:lang w:val="es-ES" w:eastAsia="es-ES"/>
        </w:rPr>
        <w:t>Cuando el título subyacente de la operación esté denominado en una moneda distinta a la legal, la primera posición nocional descrita deberá ser tenida en cuenta para calcular la exposición al riesgo de tasa de cambio.</w:t>
      </w:r>
    </w:p>
    <w:p w14:paraId="4DABC8F4" w14:textId="77777777" w:rsidR="00DC17E7" w:rsidRPr="00653E80" w:rsidRDefault="00DC17E7" w:rsidP="00DD2F76">
      <w:pPr>
        <w:spacing w:after="0" w:line="240" w:lineRule="auto"/>
        <w:jc w:val="both"/>
        <w:rPr>
          <w:rFonts w:ascii="Verdana" w:eastAsia="Times New Roman" w:hAnsi="Verdana" w:cs="Arial"/>
          <w:sz w:val="20"/>
          <w:szCs w:val="20"/>
          <w:lang w:val="es-ES" w:eastAsia="es-ES"/>
        </w:rPr>
      </w:pPr>
    </w:p>
    <w:p w14:paraId="4A39BFC8" w14:textId="37747AB9" w:rsidR="00F14847" w:rsidRPr="000E0B7B" w:rsidRDefault="00F14847" w:rsidP="00F1484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12</w:t>
      </w:r>
      <w:r w:rsidRPr="000E0B7B">
        <w:rPr>
          <w:rFonts w:ascii="Verdana" w:hAnsi="Verdana"/>
          <w:sz w:val="20"/>
          <w:szCs w:val="20"/>
        </w:rPr>
        <w:t>.</w:t>
      </w:r>
    </w:p>
    <w:p w14:paraId="5249212A" w14:textId="60FF6D46" w:rsidR="00DC17E7" w:rsidRPr="00F14847" w:rsidRDefault="00DC17E7" w:rsidP="00F14847">
      <w:pPr>
        <w:spacing w:after="0" w:line="240" w:lineRule="auto"/>
        <w:jc w:val="both"/>
        <w:rPr>
          <w:rFonts w:ascii="Verdana" w:eastAsia="Times New Roman" w:hAnsi="Verdana" w:cs="Arial"/>
          <w:sz w:val="20"/>
          <w:szCs w:val="20"/>
          <w:lang w:val="es-ES" w:eastAsia="es-ES"/>
        </w:rPr>
      </w:pPr>
      <w:r w:rsidRPr="00F14847">
        <w:rPr>
          <w:rFonts w:ascii="Verdana" w:eastAsia="Times New Roman" w:hAnsi="Verdana" w:cs="Arial"/>
          <w:sz w:val="20"/>
          <w:szCs w:val="20"/>
          <w:lang w:val="es-ES" w:eastAsia="es-ES"/>
        </w:rPr>
        <w:t>En el caso de los futuros sobre bonos nocionales que se negocien en la Bolsa de Valores de Colombia, la posición nocional larga de que trata el presente literal será calculada cómo el cociente entre el valor a precios de mercado del “</w:t>
      </w:r>
      <w:proofErr w:type="spellStart"/>
      <w:r w:rsidRPr="00F14847">
        <w:rPr>
          <w:rFonts w:ascii="Verdana" w:eastAsia="Times New Roman" w:hAnsi="Verdana" w:cs="Arial"/>
          <w:i/>
          <w:sz w:val="20"/>
          <w:szCs w:val="20"/>
          <w:lang w:val="es-ES" w:eastAsia="es-ES"/>
        </w:rPr>
        <w:t>cheapest</w:t>
      </w:r>
      <w:proofErr w:type="spellEnd"/>
      <w:r w:rsidRPr="00F14847">
        <w:rPr>
          <w:rFonts w:ascii="Verdana" w:eastAsia="Times New Roman" w:hAnsi="Verdana" w:cs="Arial"/>
          <w:i/>
          <w:sz w:val="20"/>
          <w:szCs w:val="20"/>
          <w:lang w:val="es-ES" w:eastAsia="es-ES"/>
        </w:rPr>
        <w:t xml:space="preserve"> </w:t>
      </w:r>
      <w:proofErr w:type="spellStart"/>
      <w:r w:rsidRPr="00F14847">
        <w:rPr>
          <w:rFonts w:ascii="Verdana" w:eastAsia="Times New Roman" w:hAnsi="Verdana" w:cs="Arial"/>
          <w:i/>
          <w:sz w:val="20"/>
          <w:szCs w:val="20"/>
          <w:lang w:val="es-ES" w:eastAsia="es-ES"/>
        </w:rPr>
        <w:t>to</w:t>
      </w:r>
      <w:proofErr w:type="spellEnd"/>
      <w:r w:rsidRPr="00F14847">
        <w:rPr>
          <w:rFonts w:ascii="Verdana" w:eastAsia="Times New Roman" w:hAnsi="Verdana" w:cs="Arial"/>
          <w:i/>
          <w:sz w:val="20"/>
          <w:szCs w:val="20"/>
          <w:lang w:val="es-ES" w:eastAsia="es-ES"/>
        </w:rPr>
        <w:t xml:space="preserve"> </w:t>
      </w:r>
      <w:proofErr w:type="spellStart"/>
      <w:r w:rsidRPr="00F14847">
        <w:rPr>
          <w:rFonts w:ascii="Verdana" w:eastAsia="Times New Roman" w:hAnsi="Verdana" w:cs="Arial"/>
          <w:i/>
          <w:sz w:val="20"/>
          <w:szCs w:val="20"/>
          <w:lang w:val="es-ES" w:eastAsia="es-ES"/>
        </w:rPr>
        <w:t>deliver</w:t>
      </w:r>
      <w:proofErr w:type="spellEnd"/>
      <w:r w:rsidRPr="00F14847">
        <w:rPr>
          <w:rFonts w:ascii="Verdana" w:eastAsia="Times New Roman" w:hAnsi="Verdana" w:cs="Arial"/>
          <w:sz w:val="20"/>
          <w:szCs w:val="20"/>
          <w:lang w:val="es-ES" w:eastAsia="es-ES"/>
        </w:rPr>
        <w:t>” a la fecha de valoración respectiva y el factor de conversión definido por la Bolsa de Valores de Colombia.</w:t>
      </w:r>
    </w:p>
    <w:p w14:paraId="5A8A3102" w14:textId="77777777" w:rsidR="00DC17E7" w:rsidRPr="00653E80" w:rsidRDefault="00DC17E7" w:rsidP="00DD2F76">
      <w:pPr>
        <w:spacing w:after="0" w:line="240" w:lineRule="auto"/>
        <w:jc w:val="both"/>
        <w:rPr>
          <w:rFonts w:ascii="Verdana" w:eastAsia="Times New Roman" w:hAnsi="Verdana" w:cs="Arial"/>
          <w:sz w:val="20"/>
          <w:szCs w:val="20"/>
          <w:lang w:val="es-ES" w:eastAsia="es-ES"/>
        </w:rPr>
      </w:pPr>
    </w:p>
    <w:p w14:paraId="1121F922" w14:textId="06BB82D3" w:rsidR="00F14847" w:rsidRPr="000E0B7B" w:rsidRDefault="00F14847" w:rsidP="00F1484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13</w:t>
      </w:r>
      <w:r w:rsidRPr="000E0B7B">
        <w:rPr>
          <w:rFonts w:ascii="Verdana" w:hAnsi="Verdana"/>
          <w:sz w:val="20"/>
          <w:szCs w:val="20"/>
        </w:rPr>
        <w:t>.</w:t>
      </w:r>
    </w:p>
    <w:p w14:paraId="0286F106" w14:textId="765DEA20" w:rsidR="00DC17E7" w:rsidRPr="00F14847" w:rsidRDefault="00DC17E7" w:rsidP="00F14847">
      <w:pPr>
        <w:spacing w:after="0" w:line="240" w:lineRule="auto"/>
        <w:jc w:val="both"/>
        <w:rPr>
          <w:rFonts w:ascii="Verdana" w:eastAsia="Times New Roman" w:hAnsi="Verdana" w:cs="Arial"/>
          <w:sz w:val="20"/>
          <w:szCs w:val="20"/>
          <w:lang w:val="es-ES" w:eastAsia="es-ES"/>
        </w:rPr>
      </w:pPr>
      <w:r w:rsidRPr="00F14847">
        <w:rPr>
          <w:rFonts w:ascii="Verdana" w:eastAsia="Times New Roman" w:hAnsi="Verdana" w:cs="Arial"/>
          <w:sz w:val="20"/>
          <w:szCs w:val="20"/>
          <w:lang w:val="es-ES" w:eastAsia="es-ES"/>
        </w:rPr>
        <w:t>Para este tipo de futuros sobre bonos nocionales, la posición nocional corta se definirá de acuerdo con las instrucciones señaladas e</w:t>
      </w:r>
      <w:r w:rsidR="005024B6">
        <w:rPr>
          <w:rFonts w:ascii="Verdana" w:eastAsia="Times New Roman" w:hAnsi="Verdana" w:cs="Arial"/>
          <w:sz w:val="20"/>
          <w:szCs w:val="20"/>
          <w:lang w:val="es-ES" w:eastAsia="es-ES"/>
        </w:rPr>
        <w:t>ntre los párrafos 1.1.A7.9 y 1.1.A7.13</w:t>
      </w:r>
      <w:r w:rsidRPr="00F14847">
        <w:rPr>
          <w:rFonts w:ascii="Verdana" w:eastAsia="Times New Roman" w:hAnsi="Verdana" w:cs="Arial"/>
          <w:sz w:val="20"/>
          <w:szCs w:val="20"/>
          <w:lang w:val="es-ES" w:eastAsia="es-ES"/>
        </w:rPr>
        <w:t>.</w:t>
      </w:r>
    </w:p>
    <w:p w14:paraId="490FA079" w14:textId="77777777" w:rsidR="000A028A" w:rsidRPr="00653E80" w:rsidRDefault="000A028A" w:rsidP="00DC17E7">
      <w:pPr>
        <w:spacing w:after="0" w:line="240" w:lineRule="auto"/>
        <w:ind w:left="284" w:hanging="284"/>
        <w:jc w:val="both"/>
        <w:rPr>
          <w:rFonts w:ascii="Verdana" w:eastAsia="Times New Roman" w:hAnsi="Verdana" w:cs="Arial"/>
          <w:sz w:val="20"/>
          <w:szCs w:val="20"/>
          <w:lang w:val="es-ES" w:eastAsia="es-ES"/>
        </w:rPr>
      </w:pPr>
    </w:p>
    <w:p w14:paraId="5C70C671" w14:textId="507B5185" w:rsidR="00DC17E7" w:rsidRPr="00EC11A0" w:rsidRDefault="00DC17E7" w:rsidP="00EC11A0">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EC11A0">
        <w:rPr>
          <w:rFonts w:ascii="Verdana" w:eastAsia="Times New Roman" w:hAnsi="Verdana" w:cs="Arial"/>
          <w:b/>
          <w:bCs/>
          <w:sz w:val="20"/>
          <w:szCs w:val="20"/>
          <w:lang w:val="es-ES" w:eastAsia="es-ES"/>
        </w:rPr>
        <w:t xml:space="preserve">Futuros, </w:t>
      </w:r>
      <w:r w:rsidR="005024B6">
        <w:rPr>
          <w:rFonts w:ascii="Verdana" w:eastAsia="Times New Roman" w:hAnsi="Verdana" w:cs="Arial"/>
          <w:b/>
          <w:bCs/>
          <w:sz w:val="20"/>
          <w:szCs w:val="20"/>
          <w:lang w:val="es-ES" w:eastAsia="es-ES"/>
        </w:rPr>
        <w:t>f</w:t>
      </w:r>
      <w:r w:rsidRPr="00EC11A0">
        <w:rPr>
          <w:rFonts w:ascii="Verdana" w:eastAsia="Times New Roman" w:hAnsi="Verdana" w:cs="Arial"/>
          <w:b/>
          <w:bCs/>
          <w:sz w:val="20"/>
          <w:szCs w:val="20"/>
          <w:lang w:val="es-ES" w:eastAsia="es-ES"/>
        </w:rPr>
        <w:t xml:space="preserve">orwards y </w:t>
      </w:r>
      <w:r w:rsidR="005024B6">
        <w:rPr>
          <w:rFonts w:ascii="Verdana" w:eastAsia="Times New Roman" w:hAnsi="Verdana" w:cs="Arial"/>
          <w:b/>
          <w:bCs/>
          <w:sz w:val="20"/>
          <w:szCs w:val="20"/>
          <w:lang w:val="es-ES" w:eastAsia="es-ES"/>
        </w:rPr>
        <w:t>o</w:t>
      </w:r>
      <w:r w:rsidRPr="00EC11A0">
        <w:rPr>
          <w:rFonts w:ascii="Verdana" w:eastAsia="Times New Roman" w:hAnsi="Verdana" w:cs="Arial"/>
          <w:b/>
          <w:bCs/>
          <w:sz w:val="20"/>
          <w:szCs w:val="20"/>
          <w:lang w:val="es-ES" w:eastAsia="es-ES"/>
        </w:rPr>
        <w:t xml:space="preserve">peraciones a </w:t>
      </w:r>
      <w:r w:rsidR="005024B6">
        <w:rPr>
          <w:rFonts w:ascii="Verdana" w:eastAsia="Times New Roman" w:hAnsi="Verdana" w:cs="Arial"/>
          <w:b/>
          <w:bCs/>
          <w:sz w:val="20"/>
          <w:szCs w:val="20"/>
          <w:lang w:val="es-ES" w:eastAsia="es-ES"/>
        </w:rPr>
        <w:t>p</w:t>
      </w:r>
      <w:r w:rsidRPr="00EC11A0">
        <w:rPr>
          <w:rFonts w:ascii="Verdana" w:eastAsia="Times New Roman" w:hAnsi="Verdana" w:cs="Arial"/>
          <w:b/>
          <w:bCs/>
          <w:sz w:val="20"/>
          <w:szCs w:val="20"/>
          <w:lang w:val="es-ES" w:eastAsia="es-ES"/>
        </w:rPr>
        <w:t>lazo sobre divisas</w:t>
      </w:r>
    </w:p>
    <w:p w14:paraId="6D79B58A"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7CD36FD1" w14:textId="12D7B467" w:rsidR="00EC11A0" w:rsidRPr="000E0B7B" w:rsidRDefault="00EC11A0" w:rsidP="00EC11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14</w:t>
      </w:r>
      <w:r w:rsidRPr="000E0B7B">
        <w:rPr>
          <w:rFonts w:ascii="Verdana" w:hAnsi="Verdana"/>
          <w:sz w:val="20"/>
          <w:szCs w:val="20"/>
        </w:rPr>
        <w:t>.</w:t>
      </w:r>
    </w:p>
    <w:p w14:paraId="71365CD3" w14:textId="40E58FB4" w:rsidR="00DC17E7" w:rsidRPr="00EC11A0" w:rsidRDefault="00DC17E7" w:rsidP="00EC11A0">
      <w:pPr>
        <w:spacing w:after="0" w:line="240" w:lineRule="auto"/>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 xml:space="preserve">Estos instrumentos deberán ser tratados como 2 posiciones nocionales en bonos </w:t>
      </w:r>
      <w:proofErr w:type="gramStart"/>
      <w:r w:rsidRPr="00EC11A0">
        <w:rPr>
          <w:rFonts w:ascii="Verdana" w:eastAsia="Times New Roman" w:hAnsi="Verdana" w:cs="Arial"/>
          <w:sz w:val="20"/>
          <w:szCs w:val="20"/>
          <w:lang w:val="es-ES" w:eastAsia="es-ES"/>
        </w:rPr>
        <w:t>cero cupón</w:t>
      </w:r>
      <w:proofErr w:type="gramEnd"/>
      <w:r w:rsidRPr="00EC11A0">
        <w:rPr>
          <w:rFonts w:ascii="Verdana" w:eastAsia="Times New Roman" w:hAnsi="Verdana" w:cs="Arial"/>
          <w:sz w:val="20"/>
          <w:szCs w:val="20"/>
          <w:lang w:val="es-ES" w:eastAsia="es-ES"/>
        </w:rPr>
        <w:t xml:space="preserve"> en las monedas aplicables.</w:t>
      </w:r>
    </w:p>
    <w:p w14:paraId="4D9407DB"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677F689E" w14:textId="77777777" w:rsidR="00EC11A0" w:rsidRDefault="00DC17E7" w:rsidP="00EC11A0">
      <w:pPr>
        <w:pStyle w:val="Prrafodelista"/>
        <w:numPr>
          <w:ilvl w:val="0"/>
          <w:numId w:val="43"/>
        </w:numPr>
        <w:spacing w:after="0" w:line="240" w:lineRule="auto"/>
        <w:ind w:left="567" w:hanging="567"/>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lastRenderedPageBreak/>
        <w:t>Una posición nocional larga en un bono cero cupón, denominado en la moneda comprada y con una madurez residual igual al tiempo que resta para el cumplimiento del contrato.</w:t>
      </w:r>
    </w:p>
    <w:p w14:paraId="4FF334C9" w14:textId="77777777" w:rsidR="00EC11A0" w:rsidRDefault="00EC11A0" w:rsidP="00EC11A0">
      <w:pPr>
        <w:pStyle w:val="Prrafodelista"/>
        <w:spacing w:after="0" w:line="240" w:lineRule="auto"/>
        <w:ind w:left="567"/>
        <w:jc w:val="both"/>
        <w:rPr>
          <w:rFonts w:ascii="Verdana" w:eastAsia="Times New Roman" w:hAnsi="Verdana" w:cs="Arial"/>
          <w:sz w:val="20"/>
          <w:szCs w:val="20"/>
          <w:lang w:val="es-ES" w:eastAsia="es-ES"/>
        </w:rPr>
      </w:pPr>
    </w:p>
    <w:p w14:paraId="307C1612" w14:textId="1DDD5ADB" w:rsidR="00DC17E7" w:rsidRPr="00EC11A0" w:rsidRDefault="00DC17E7" w:rsidP="00EC11A0">
      <w:pPr>
        <w:pStyle w:val="Prrafodelista"/>
        <w:numPr>
          <w:ilvl w:val="0"/>
          <w:numId w:val="43"/>
        </w:numPr>
        <w:spacing w:after="0" w:line="240" w:lineRule="auto"/>
        <w:ind w:left="567" w:hanging="567"/>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Una posición nocional corta en un bono cero cupón, denominado en la moneda vendida y con una madurez residual igual al tiempo que resta para el cumplimiento del contrato.</w:t>
      </w:r>
    </w:p>
    <w:p w14:paraId="0D163983" w14:textId="77777777" w:rsidR="00EC11A0" w:rsidRDefault="00EC11A0" w:rsidP="00EC11A0">
      <w:pPr>
        <w:spacing w:after="0" w:line="240" w:lineRule="auto"/>
        <w:jc w:val="both"/>
        <w:rPr>
          <w:rFonts w:ascii="Verdana" w:eastAsia="Times New Roman" w:hAnsi="Verdana" w:cs="Arial"/>
          <w:sz w:val="20"/>
          <w:szCs w:val="20"/>
          <w:lang w:val="es-ES" w:eastAsia="es-ES"/>
        </w:rPr>
      </w:pPr>
    </w:p>
    <w:p w14:paraId="28A919CD" w14:textId="7830907B" w:rsidR="00EC11A0" w:rsidRPr="000E0B7B" w:rsidRDefault="00EC11A0" w:rsidP="00EC11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w:t>
      </w:r>
      <w:r>
        <w:rPr>
          <w:rFonts w:ascii="Verdana" w:hAnsi="Verdana"/>
          <w:sz w:val="20"/>
          <w:szCs w:val="20"/>
        </w:rPr>
        <w:t>5</w:t>
      </w:r>
      <w:r w:rsidRPr="000E0B7B">
        <w:rPr>
          <w:rFonts w:ascii="Verdana" w:hAnsi="Verdana"/>
          <w:sz w:val="20"/>
          <w:szCs w:val="20"/>
        </w:rPr>
        <w:t>.</w:t>
      </w:r>
    </w:p>
    <w:p w14:paraId="5199F1EF" w14:textId="3C898D5C" w:rsidR="00DC17E7" w:rsidRPr="00EC11A0" w:rsidRDefault="00DC17E7" w:rsidP="00EC11A0">
      <w:pPr>
        <w:spacing w:after="0" w:line="240" w:lineRule="auto"/>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Estas posiciones deben ser tenidas en cuenta para calcular la exposición al riesgo de tasa de cambio.</w:t>
      </w:r>
    </w:p>
    <w:p w14:paraId="19E338DD"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3D09445C" w14:textId="0BC528D8" w:rsidR="00DC17E7" w:rsidRPr="00EC11A0" w:rsidRDefault="00DC17E7" w:rsidP="00EC11A0">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EC11A0">
        <w:rPr>
          <w:rFonts w:ascii="Verdana" w:eastAsia="Times New Roman" w:hAnsi="Verdana" w:cs="Arial"/>
          <w:b/>
          <w:bCs/>
          <w:sz w:val="20"/>
          <w:szCs w:val="20"/>
          <w:lang w:val="es-ES" w:eastAsia="es-ES"/>
        </w:rPr>
        <w:t>Swaps de tasas de interés</w:t>
      </w:r>
    </w:p>
    <w:p w14:paraId="2790619A"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1FD5E418" w14:textId="296F9FD8" w:rsidR="00EC11A0" w:rsidRPr="000E0B7B" w:rsidRDefault="00EC11A0" w:rsidP="00EC11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16</w:t>
      </w:r>
      <w:r w:rsidRPr="000E0B7B">
        <w:rPr>
          <w:rFonts w:ascii="Verdana" w:hAnsi="Verdana"/>
          <w:sz w:val="20"/>
          <w:szCs w:val="20"/>
        </w:rPr>
        <w:t>.</w:t>
      </w:r>
    </w:p>
    <w:p w14:paraId="68FD252A" w14:textId="1C7F01C7" w:rsidR="00DC17E7" w:rsidRPr="00EC11A0" w:rsidRDefault="00DC17E7" w:rsidP="00EC11A0">
      <w:pPr>
        <w:spacing w:after="0" w:line="240" w:lineRule="auto"/>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Estos instrumentos deberán ser tratados como dos posiciones nocionales en bonos subyacentes en las tasas de interés respectivas. En este sentido la posición se descompone en:</w:t>
      </w:r>
    </w:p>
    <w:p w14:paraId="52879C64"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0FE4033C" w14:textId="77777777" w:rsidR="00EC11A0" w:rsidRDefault="00DC17E7" w:rsidP="00EC11A0">
      <w:pPr>
        <w:pStyle w:val="Prrafodelista"/>
        <w:numPr>
          <w:ilvl w:val="0"/>
          <w:numId w:val="44"/>
        </w:numPr>
        <w:spacing w:after="0" w:line="240" w:lineRule="auto"/>
        <w:ind w:left="567" w:hanging="567"/>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Una posición nocional larga en un título pactado a la tasa de interés que recibe la entidad.</w:t>
      </w:r>
    </w:p>
    <w:p w14:paraId="390E64FF" w14:textId="77777777" w:rsidR="00EC11A0" w:rsidRPr="00D71B48" w:rsidRDefault="00EC11A0" w:rsidP="00D71B48">
      <w:pPr>
        <w:spacing w:after="0" w:line="240" w:lineRule="auto"/>
        <w:jc w:val="both"/>
        <w:rPr>
          <w:rFonts w:ascii="Verdana" w:eastAsia="Times New Roman" w:hAnsi="Verdana" w:cs="Arial"/>
          <w:sz w:val="20"/>
          <w:szCs w:val="20"/>
          <w:lang w:val="es-ES" w:eastAsia="es-ES"/>
        </w:rPr>
      </w:pPr>
    </w:p>
    <w:p w14:paraId="64DB9A51" w14:textId="395CD2C3" w:rsidR="00DC17E7" w:rsidRPr="00EC11A0" w:rsidRDefault="00DC17E7" w:rsidP="00EC11A0">
      <w:pPr>
        <w:pStyle w:val="Prrafodelista"/>
        <w:numPr>
          <w:ilvl w:val="0"/>
          <w:numId w:val="44"/>
        </w:numPr>
        <w:spacing w:after="0" w:line="240" w:lineRule="auto"/>
        <w:ind w:left="567" w:hanging="567"/>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Una posición nocional corta en un título pactado a la tasa de interés que la entidad paga.</w:t>
      </w:r>
    </w:p>
    <w:p w14:paraId="57BC031F"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6BBDBE42" w14:textId="02115753" w:rsidR="00EC11A0" w:rsidRPr="000E0B7B" w:rsidRDefault="00EC11A0" w:rsidP="00EC11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17</w:t>
      </w:r>
      <w:r w:rsidRPr="000E0B7B">
        <w:rPr>
          <w:rFonts w:ascii="Verdana" w:hAnsi="Verdana"/>
          <w:sz w:val="20"/>
          <w:szCs w:val="20"/>
        </w:rPr>
        <w:t>.</w:t>
      </w:r>
    </w:p>
    <w:p w14:paraId="62D0931A" w14:textId="2BB59F6F" w:rsidR="00DC17E7" w:rsidRPr="00EC11A0" w:rsidRDefault="00DC17E7" w:rsidP="00EC11A0">
      <w:pPr>
        <w:spacing w:after="0" w:line="240" w:lineRule="auto"/>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 xml:space="preserve">Cuando la tasa de interés del instrumento subyacente sea fija, la madurez residual correspondiente será igual a la duración del contrato.  Para los casos en que la tasa de interés sea variable, la duración del flujo </w:t>
      </w:r>
      <w:r w:rsidRPr="00EE4151">
        <w:rPr>
          <w:rFonts w:ascii="Verdana" w:eastAsia="Times New Roman" w:hAnsi="Verdana" w:cs="Arial"/>
          <w:sz w:val="20"/>
          <w:szCs w:val="20"/>
          <w:lang w:val="es-ES" w:eastAsia="es-ES"/>
        </w:rPr>
        <w:t xml:space="preserve">se debe calcular de acuerdo </w:t>
      </w:r>
      <w:r w:rsidR="00116F34">
        <w:rPr>
          <w:rFonts w:ascii="Verdana" w:eastAsia="Times New Roman" w:hAnsi="Verdana" w:cs="Arial"/>
          <w:sz w:val="20"/>
          <w:szCs w:val="20"/>
          <w:lang w:val="es-ES" w:eastAsia="es-ES"/>
        </w:rPr>
        <w:t>con</w:t>
      </w:r>
      <w:r w:rsidR="00233357" w:rsidRPr="00EE4151">
        <w:rPr>
          <w:rFonts w:ascii="Verdana" w:eastAsia="Times New Roman" w:hAnsi="Verdana" w:cs="Arial"/>
          <w:sz w:val="20"/>
          <w:szCs w:val="20"/>
          <w:lang w:val="es-ES" w:eastAsia="es-ES"/>
        </w:rPr>
        <w:t xml:space="preserve"> las disposiciones establecidas </w:t>
      </w:r>
      <w:r w:rsidR="008B33F2" w:rsidRPr="00EE4151">
        <w:rPr>
          <w:rFonts w:ascii="Verdana" w:eastAsia="Times New Roman" w:hAnsi="Verdana" w:cs="Arial"/>
          <w:sz w:val="20"/>
          <w:szCs w:val="20"/>
          <w:lang w:val="es-ES" w:eastAsia="es-ES"/>
        </w:rPr>
        <w:t>en</w:t>
      </w:r>
      <w:r w:rsidR="001E473A">
        <w:rPr>
          <w:rFonts w:ascii="Verdana" w:eastAsia="Times New Roman" w:hAnsi="Verdana" w:cs="Arial"/>
          <w:sz w:val="20"/>
          <w:szCs w:val="20"/>
          <w:lang w:val="es-ES" w:eastAsia="es-ES"/>
        </w:rPr>
        <w:t>tre los párrafos 1.1.A6.</w:t>
      </w:r>
      <w:r w:rsidR="00EA1531">
        <w:rPr>
          <w:rFonts w:ascii="Verdana" w:eastAsia="Times New Roman" w:hAnsi="Verdana" w:cs="Arial"/>
          <w:sz w:val="20"/>
          <w:szCs w:val="20"/>
          <w:lang w:val="es-ES" w:eastAsia="es-ES"/>
        </w:rPr>
        <w:t>50. y 1.1.A6.80. de</w:t>
      </w:r>
      <w:r w:rsidR="00F5717E">
        <w:rPr>
          <w:rFonts w:ascii="Verdana" w:eastAsia="Times New Roman" w:hAnsi="Verdana" w:cs="Arial"/>
          <w:sz w:val="20"/>
          <w:szCs w:val="20"/>
          <w:lang w:val="es-ES" w:eastAsia="es-ES"/>
        </w:rPr>
        <w:t>l anexo 6 de</w:t>
      </w:r>
      <w:r w:rsidR="00EA1531">
        <w:rPr>
          <w:rFonts w:ascii="Verdana" w:eastAsia="Times New Roman" w:hAnsi="Verdana" w:cs="Arial"/>
          <w:sz w:val="20"/>
          <w:szCs w:val="20"/>
          <w:lang w:val="es-ES" w:eastAsia="es-ES"/>
        </w:rPr>
        <w:t xml:space="preserve"> la </w:t>
      </w:r>
      <w:r w:rsidR="00747C09">
        <w:rPr>
          <w:rFonts w:ascii="Verdana" w:eastAsia="Times New Roman" w:hAnsi="Verdana" w:cs="Arial"/>
          <w:sz w:val="20"/>
          <w:szCs w:val="20"/>
          <w:lang w:val="es-ES" w:eastAsia="es-ES"/>
        </w:rPr>
        <w:t>CBF</w:t>
      </w:r>
      <w:r w:rsidR="00EA1531">
        <w:rPr>
          <w:rFonts w:ascii="Verdana" w:eastAsia="Times New Roman" w:hAnsi="Verdana" w:cs="Arial"/>
          <w:sz w:val="20"/>
          <w:szCs w:val="20"/>
          <w:lang w:val="es-ES" w:eastAsia="es-ES"/>
        </w:rPr>
        <w:t>.</w:t>
      </w:r>
    </w:p>
    <w:p w14:paraId="76A83A4A" w14:textId="77777777" w:rsidR="00DC17E7" w:rsidRPr="00653E80" w:rsidRDefault="00DC17E7" w:rsidP="00DC17E7">
      <w:pPr>
        <w:spacing w:after="0" w:line="240" w:lineRule="auto"/>
        <w:ind w:left="1134" w:hanging="567"/>
        <w:jc w:val="both"/>
        <w:rPr>
          <w:rFonts w:ascii="Verdana" w:eastAsia="Times New Roman" w:hAnsi="Verdana" w:cs="Arial"/>
          <w:sz w:val="20"/>
          <w:szCs w:val="20"/>
          <w:lang w:val="es-ES" w:eastAsia="es-ES"/>
        </w:rPr>
      </w:pPr>
    </w:p>
    <w:p w14:paraId="2C7C17E8" w14:textId="2199986D" w:rsidR="00EC11A0" w:rsidRPr="000E0B7B" w:rsidRDefault="00EC11A0" w:rsidP="00EC11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18</w:t>
      </w:r>
      <w:r w:rsidRPr="000E0B7B">
        <w:rPr>
          <w:rFonts w:ascii="Verdana" w:hAnsi="Verdana"/>
          <w:sz w:val="20"/>
          <w:szCs w:val="20"/>
        </w:rPr>
        <w:t>.</w:t>
      </w:r>
    </w:p>
    <w:p w14:paraId="2ED10DAA" w14:textId="6315D207" w:rsidR="00DC17E7" w:rsidRPr="00EC11A0" w:rsidRDefault="00DC17E7" w:rsidP="00EC11A0">
      <w:pPr>
        <w:spacing w:after="0" w:line="240" w:lineRule="auto"/>
        <w:jc w:val="both"/>
        <w:rPr>
          <w:rFonts w:ascii="Verdana" w:eastAsia="Times New Roman" w:hAnsi="Verdana" w:cs="Arial"/>
          <w:sz w:val="20"/>
          <w:szCs w:val="20"/>
          <w:lang w:val="es-ES" w:eastAsia="es-ES"/>
        </w:rPr>
      </w:pPr>
      <w:r w:rsidRPr="00EC11A0">
        <w:rPr>
          <w:rFonts w:ascii="Verdana" w:eastAsia="Times New Roman" w:hAnsi="Verdana" w:cs="Arial"/>
          <w:sz w:val="20"/>
          <w:szCs w:val="20"/>
          <w:lang w:val="es-ES" w:eastAsia="es-ES"/>
        </w:rPr>
        <w:t>En el caso de swaps que involucren posiciones en distintas monedas (</w:t>
      </w:r>
      <w:proofErr w:type="spellStart"/>
      <w:r w:rsidRPr="00EC11A0">
        <w:rPr>
          <w:rFonts w:ascii="Verdana" w:eastAsia="Times New Roman" w:hAnsi="Verdana" w:cs="Arial"/>
          <w:i/>
          <w:sz w:val="20"/>
          <w:szCs w:val="20"/>
          <w:lang w:val="es-ES" w:eastAsia="es-ES"/>
        </w:rPr>
        <w:t>cross</w:t>
      </w:r>
      <w:proofErr w:type="spellEnd"/>
      <w:r w:rsidRPr="00EC11A0">
        <w:rPr>
          <w:rFonts w:ascii="Verdana" w:eastAsia="Times New Roman" w:hAnsi="Verdana" w:cs="Arial"/>
          <w:i/>
          <w:sz w:val="20"/>
          <w:szCs w:val="20"/>
          <w:lang w:val="es-ES" w:eastAsia="es-ES"/>
        </w:rPr>
        <w:t xml:space="preserve"> </w:t>
      </w:r>
      <w:proofErr w:type="spellStart"/>
      <w:r w:rsidRPr="00EC11A0">
        <w:rPr>
          <w:rFonts w:ascii="Verdana" w:eastAsia="Times New Roman" w:hAnsi="Verdana" w:cs="Arial"/>
          <w:i/>
          <w:sz w:val="20"/>
          <w:szCs w:val="20"/>
          <w:lang w:val="es-ES" w:eastAsia="es-ES"/>
        </w:rPr>
        <w:t>currency</w:t>
      </w:r>
      <w:proofErr w:type="spellEnd"/>
      <w:r w:rsidRPr="00EC11A0">
        <w:rPr>
          <w:rFonts w:ascii="Verdana" w:eastAsia="Times New Roman" w:hAnsi="Verdana" w:cs="Arial"/>
          <w:i/>
          <w:sz w:val="20"/>
          <w:szCs w:val="20"/>
          <w:lang w:val="es-ES" w:eastAsia="es-ES"/>
        </w:rPr>
        <w:t xml:space="preserve"> swaps</w:t>
      </w:r>
      <w:r w:rsidRPr="00EC11A0">
        <w:rPr>
          <w:rFonts w:ascii="Verdana" w:eastAsia="Times New Roman" w:hAnsi="Verdana" w:cs="Arial"/>
          <w:sz w:val="20"/>
          <w:szCs w:val="20"/>
          <w:lang w:val="es-ES" w:eastAsia="es-ES"/>
        </w:rPr>
        <w:t>) cada una de las posiciones debe ser tenida en cuenta para calcular la exposición al riesgo de tasa de cambio.</w:t>
      </w:r>
    </w:p>
    <w:p w14:paraId="2505F213" w14:textId="77777777" w:rsidR="00DC17E7" w:rsidRPr="00295E9B" w:rsidRDefault="00DC17E7" w:rsidP="003A2CBC">
      <w:pPr>
        <w:spacing w:after="0" w:line="240" w:lineRule="auto"/>
        <w:jc w:val="both"/>
        <w:rPr>
          <w:rFonts w:ascii="Verdana" w:eastAsia="Times New Roman" w:hAnsi="Verdana" w:cs="Arial"/>
          <w:sz w:val="20"/>
          <w:szCs w:val="20"/>
          <w:lang w:val="es-ES" w:eastAsia="es-ES"/>
        </w:rPr>
      </w:pPr>
    </w:p>
    <w:p w14:paraId="7F55BBAA" w14:textId="0C3CD921"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19</w:t>
      </w:r>
      <w:r w:rsidRPr="000E0B7B">
        <w:rPr>
          <w:rFonts w:ascii="Verdana" w:hAnsi="Verdana"/>
          <w:sz w:val="20"/>
          <w:szCs w:val="20"/>
        </w:rPr>
        <w:t>.</w:t>
      </w:r>
    </w:p>
    <w:p w14:paraId="70248908" w14:textId="57EA0979"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Para efectos de los futuros cuya estructura se asemeje a intercambios de flujos calculados sobre tasas de interés les será aplicable lo establecido en</w:t>
      </w:r>
      <w:r w:rsidR="003936DB">
        <w:rPr>
          <w:rFonts w:ascii="Verdana" w:eastAsia="Times New Roman" w:hAnsi="Verdana" w:cs="Arial"/>
          <w:sz w:val="20"/>
          <w:szCs w:val="20"/>
          <w:lang w:val="es-ES" w:eastAsia="es-ES"/>
        </w:rPr>
        <w:t>tre los párrafos 1.1.A7.16. y 1.1.A7.21.</w:t>
      </w:r>
    </w:p>
    <w:p w14:paraId="44A9F8B5" w14:textId="77777777" w:rsidR="00DC17E7" w:rsidRPr="00295E9B" w:rsidRDefault="00DC17E7" w:rsidP="003A2CBC">
      <w:pPr>
        <w:spacing w:after="0" w:line="240" w:lineRule="auto"/>
        <w:jc w:val="both"/>
        <w:rPr>
          <w:rFonts w:ascii="Verdana" w:eastAsia="Times New Roman" w:hAnsi="Verdana" w:cs="Arial"/>
          <w:sz w:val="20"/>
          <w:szCs w:val="20"/>
          <w:lang w:val="es-ES" w:eastAsia="es-ES"/>
        </w:rPr>
      </w:pPr>
    </w:p>
    <w:p w14:paraId="06FC84B0" w14:textId="235D60B2"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20</w:t>
      </w:r>
      <w:r w:rsidRPr="000E0B7B">
        <w:rPr>
          <w:rFonts w:ascii="Verdana" w:hAnsi="Verdana"/>
          <w:sz w:val="20"/>
          <w:szCs w:val="20"/>
        </w:rPr>
        <w:t>.</w:t>
      </w:r>
    </w:p>
    <w:p w14:paraId="47B71AE2" w14:textId="6FCF966F" w:rsidR="00DC17E7" w:rsidRPr="00913AD2" w:rsidRDefault="00DC17E7" w:rsidP="00913AD2">
      <w:pPr>
        <w:spacing w:after="0" w:line="240" w:lineRule="auto"/>
        <w:jc w:val="both"/>
        <w:rPr>
          <w:rFonts w:ascii="Verdana" w:eastAsia="Times New Roman" w:hAnsi="Verdana" w:cs="Arial"/>
          <w:sz w:val="20"/>
          <w:szCs w:val="20"/>
          <w:lang w:val="es-MX" w:eastAsia="es-ES"/>
        </w:rPr>
      </w:pPr>
      <w:r w:rsidRPr="00913AD2">
        <w:rPr>
          <w:rFonts w:ascii="Verdana" w:eastAsia="Times New Roman" w:hAnsi="Verdana" w:cs="Arial"/>
          <w:sz w:val="20"/>
          <w:szCs w:val="20"/>
          <w:lang w:val="es-MX" w:eastAsia="es-ES"/>
        </w:rPr>
        <w:t>Los derivados de crédito que involucren el intercambio de los flujos completos de un activo por una tasa de interés pactada (</w:t>
      </w:r>
      <w:r w:rsidRPr="00913AD2">
        <w:rPr>
          <w:rFonts w:ascii="Verdana" w:eastAsia="Times New Roman" w:hAnsi="Verdana" w:cs="Arial"/>
          <w:i/>
          <w:sz w:val="20"/>
          <w:szCs w:val="20"/>
          <w:lang w:val="es-MX" w:eastAsia="es-ES"/>
        </w:rPr>
        <w:t xml:space="preserve">Total </w:t>
      </w:r>
      <w:proofErr w:type="spellStart"/>
      <w:r w:rsidRPr="00913AD2">
        <w:rPr>
          <w:rFonts w:ascii="Verdana" w:eastAsia="Times New Roman" w:hAnsi="Verdana" w:cs="Arial"/>
          <w:i/>
          <w:sz w:val="20"/>
          <w:szCs w:val="20"/>
          <w:lang w:val="es-MX" w:eastAsia="es-ES"/>
        </w:rPr>
        <w:t>Return</w:t>
      </w:r>
      <w:proofErr w:type="spellEnd"/>
      <w:r w:rsidRPr="00913AD2">
        <w:rPr>
          <w:rFonts w:ascii="Verdana" w:eastAsia="Times New Roman" w:hAnsi="Verdana" w:cs="Arial"/>
          <w:i/>
          <w:sz w:val="20"/>
          <w:szCs w:val="20"/>
          <w:lang w:val="es-MX" w:eastAsia="es-ES"/>
        </w:rPr>
        <w:t xml:space="preserve"> Swaps) deberán</w:t>
      </w:r>
      <w:r w:rsidRPr="00913AD2">
        <w:rPr>
          <w:rFonts w:ascii="Verdana" w:eastAsia="Times New Roman" w:hAnsi="Verdana" w:cs="Arial"/>
          <w:sz w:val="20"/>
          <w:szCs w:val="20"/>
          <w:lang w:val="es-MX" w:eastAsia="es-ES"/>
        </w:rPr>
        <w:t xml:space="preserve"> ser tratados como dos posiciones nocionales separadas, así: </w:t>
      </w:r>
    </w:p>
    <w:p w14:paraId="568F35DA" w14:textId="77777777" w:rsidR="00DC17E7" w:rsidRPr="00295E9B" w:rsidRDefault="00DC17E7" w:rsidP="003A2CBC">
      <w:pPr>
        <w:spacing w:after="0" w:line="240" w:lineRule="auto"/>
        <w:jc w:val="both"/>
        <w:rPr>
          <w:rFonts w:ascii="Verdana" w:eastAsia="Times New Roman" w:hAnsi="Verdana" w:cs="Arial"/>
          <w:sz w:val="20"/>
          <w:szCs w:val="20"/>
          <w:lang w:val="es-MX" w:eastAsia="es-ES"/>
        </w:rPr>
      </w:pPr>
    </w:p>
    <w:p w14:paraId="5D56ADEB" w14:textId="6F46B280" w:rsidR="00913AD2" w:rsidRPr="00DD2F76" w:rsidRDefault="00DC17E7" w:rsidP="00DD2F76">
      <w:pPr>
        <w:pStyle w:val="Prrafodelista"/>
        <w:numPr>
          <w:ilvl w:val="0"/>
          <w:numId w:val="45"/>
        </w:numPr>
        <w:ind w:left="567" w:hanging="567"/>
        <w:jc w:val="both"/>
        <w:rPr>
          <w:rFonts w:ascii="Verdana" w:eastAsia="Times New Roman" w:hAnsi="Verdana" w:cs="Arial"/>
          <w:sz w:val="20"/>
          <w:szCs w:val="20"/>
          <w:lang w:val="es-MX" w:eastAsia="es-ES"/>
        </w:rPr>
      </w:pPr>
      <w:r w:rsidRPr="00913AD2">
        <w:rPr>
          <w:rFonts w:ascii="Verdana" w:eastAsia="Times New Roman" w:hAnsi="Verdana" w:cs="Arial"/>
          <w:sz w:val="20"/>
          <w:szCs w:val="20"/>
          <w:lang w:val="es-MX" w:eastAsia="es-ES"/>
        </w:rPr>
        <w:t>Una posición nocional larga o corta en el título de referencia (subyacente del derivado) que recibe o paga la entidad.</w:t>
      </w:r>
    </w:p>
    <w:p w14:paraId="4EE58704" w14:textId="77777777" w:rsidR="00DD2F76" w:rsidRDefault="00DD2F76" w:rsidP="00DD2F76">
      <w:pPr>
        <w:pStyle w:val="Prrafodelista"/>
        <w:ind w:left="567"/>
        <w:jc w:val="both"/>
        <w:rPr>
          <w:rFonts w:ascii="Verdana" w:eastAsia="Times New Roman" w:hAnsi="Verdana" w:cs="Arial"/>
          <w:sz w:val="20"/>
          <w:szCs w:val="20"/>
          <w:lang w:val="es-MX" w:eastAsia="es-ES"/>
        </w:rPr>
      </w:pPr>
    </w:p>
    <w:p w14:paraId="49C6258C" w14:textId="48C529E8" w:rsidR="00DC17E7" w:rsidRPr="00913AD2" w:rsidRDefault="00DC17E7" w:rsidP="00913AD2">
      <w:pPr>
        <w:pStyle w:val="Prrafodelista"/>
        <w:numPr>
          <w:ilvl w:val="0"/>
          <w:numId w:val="45"/>
        </w:numPr>
        <w:ind w:left="567" w:hanging="567"/>
        <w:jc w:val="both"/>
        <w:rPr>
          <w:rFonts w:ascii="Verdana" w:eastAsia="Times New Roman" w:hAnsi="Verdana" w:cs="Arial"/>
          <w:sz w:val="20"/>
          <w:szCs w:val="20"/>
          <w:lang w:val="es-MX" w:eastAsia="es-ES"/>
        </w:rPr>
      </w:pPr>
      <w:r w:rsidRPr="00913AD2">
        <w:rPr>
          <w:rFonts w:ascii="Verdana" w:eastAsia="Times New Roman" w:hAnsi="Verdana" w:cs="Arial"/>
          <w:sz w:val="20"/>
          <w:szCs w:val="20"/>
          <w:lang w:val="es-MX" w:eastAsia="es-ES"/>
        </w:rPr>
        <w:t>Una posición nocional larga o corta en un título pactado a la tasa de interés que la entidad recibe o paga.</w:t>
      </w:r>
    </w:p>
    <w:p w14:paraId="64409C7E" w14:textId="20EB232A" w:rsidR="00913AD2" w:rsidRPr="00913AD2" w:rsidRDefault="00913AD2" w:rsidP="00913AD2">
      <w:pPr>
        <w:spacing w:after="0"/>
        <w:rPr>
          <w:rFonts w:ascii="Verdana" w:hAnsi="Verdana"/>
          <w:sz w:val="20"/>
          <w:szCs w:val="20"/>
        </w:rPr>
      </w:pPr>
      <w:r w:rsidRPr="00913AD2">
        <w:rPr>
          <w:rFonts w:ascii="Verdana" w:hAnsi="Verdana"/>
          <w:sz w:val="20"/>
          <w:szCs w:val="20"/>
        </w:rPr>
        <w:t>1.1.A7.</w:t>
      </w:r>
      <w:r w:rsidR="00D966B1">
        <w:rPr>
          <w:rFonts w:ascii="Verdana" w:hAnsi="Verdana"/>
          <w:sz w:val="20"/>
          <w:szCs w:val="20"/>
        </w:rPr>
        <w:t>21</w:t>
      </w:r>
      <w:r w:rsidRPr="00913AD2">
        <w:rPr>
          <w:rFonts w:ascii="Verdana" w:hAnsi="Verdana"/>
          <w:sz w:val="20"/>
          <w:szCs w:val="20"/>
        </w:rPr>
        <w:t>.</w:t>
      </w:r>
    </w:p>
    <w:p w14:paraId="1AC61231" w14:textId="5C20F978" w:rsidR="00813D86" w:rsidRDefault="00DC17E7" w:rsidP="00DC17E7">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Dependiendo de la naturaleza del título subyacente, se deberá aplicar el factor de riesgo correspondiente de acuerdo con lo previsto en el presente </w:t>
      </w:r>
      <w:r w:rsidR="00DC1092">
        <w:rPr>
          <w:rFonts w:ascii="Verdana" w:eastAsia="Times New Roman" w:hAnsi="Verdana" w:cs="Arial"/>
          <w:sz w:val="20"/>
          <w:szCs w:val="20"/>
          <w:lang w:val="es-ES" w:eastAsia="es-ES"/>
        </w:rPr>
        <w:t>a</w:t>
      </w:r>
      <w:r w:rsidRPr="00913AD2">
        <w:rPr>
          <w:rFonts w:ascii="Verdana" w:eastAsia="Times New Roman" w:hAnsi="Verdana" w:cs="Arial"/>
          <w:sz w:val="20"/>
          <w:szCs w:val="20"/>
          <w:lang w:val="es-ES" w:eastAsia="es-ES"/>
        </w:rPr>
        <w:t xml:space="preserve">nexo.  </w:t>
      </w:r>
    </w:p>
    <w:p w14:paraId="1FF5193A" w14:textId="77777777" w:rsidR="00813D86" w:rsidRPr="00295E9B" w:rsidRDefault="00813D86" w:rsidP="00DC17E7">
      <w:pPr>
        <w:spacing w:after="0" w:line="240" w:lineRule="auto"/>
        <w:jc w:val="both"/>
        <w:rPr>
          <w:rFonts w:ascii="Verdana" w:eastAsia="Times New Roman" w:hAnsi="Verdana" w:cs="Arial"/>
          <w:sz w:val="20"/>
          <w:szCs w:val="20"/>
          <w:lang w:val="es-ES" w:eastAsia="es-ES"/>
        </w:rPr>
      </w:pPr>
    </w:p>
    <w:p w14:paraId="2840B33B" w14:textId="48567FC5" w:rsidR="00DC17E7" w:rsidRPr="00913AD2" w:rsidRDefault="00DC17E7" w:rsidP="00913AD2">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913AD2">
        <w:rPr>
          <w:rFonts w:ascii="Verdana" w:eastAsia="Times New Roman" w:hAnsi="Verdana" w:cs="Arial"/>
          <w:b/>
          <w:bCs/>
          <w:sz w:val="20"/>
          <w:szCs w:val="20"/>
          <w:lang w:val="es-ES" w:eastAsia="es-ES"/>
        </w:rPr>
        <w:t xml:space="preserve">Futuros, </w:t>
      </w:r>
      <w:r w:rsidR="00401EB9">
        <w:rPr>
          <w:rFonts w:ascii="Verdana" w:eastAsia="Times New Roman" w:hAnsi="Verdana" w:cs="Arial"/>
          <w:b/>
          <w:bCs/>
          <w:sz w:val="20"/>
          <w:szCs w:val="20"/>
          <w:lang w:val="es-ES" w:eastAsia="es-ES"/>
        </w:rPr>
        <w:t>f</w:t>
      </w:r>
      <w:r w:rsidRPr="00913AD2">
        <w:rPr>
          <w:rFonts w:ascii="Verdana" w:eastAsia="Times New Roman" w:hAnsi="Verdana" w:cs="Arial"/>
          <w:b/>
          <w:bCs/>
          <w:sz w:val="20"/>
          <w:szCs w:val="20"/>
          <w:lang w:val="es-ES" w:eastAsia="es-ES"/>
        </w:rPr>
        <w:t xml:space="preserve">orwards y </w:t>
      </w:r>
      <w:r w:rsidR="00401EB9">
        <w:rPr>
          <w:rFonts w:ascii="Verdana" w:eastAsia="Times New Roman" w:hAnsi="Verdana" w:cs="Arial"/>
          <w:b/>
          <w:bCs/>
          <w:sz w:val="20"/>
          <w:szCs w:val="20"/>
          <w:lang w:val="es-ES" w:eastAsia="es-ES"/>
        </w:rPr>
        <w:t>o</w:t>
      </w:r>
      <w:r w:rsidRPr="00913AD2">
        <w:rPr>
          <w:rFonts w:ascii="Verdana" w:eastAsia="Times New Roman" w:hAnsi="Verdana" w:cs="Arial"/>
          <w:b/>
          <w:bCs/>
          <w:sz w:val="20"/>
          <w:szCs w:val="20"/>
          <w:lang w:val="es-ES" w:eastAsia="es-ES"/>
        </w:rPr>
        <w:t xml:space="preserve">peraciones a </w:t>
      </w:r>
      <w:r w:rsidR="00401EB9">
        <w:rPr>
          <w:rFonts w:ascii="Verdana" w:eastAsia="Times New Roman" w:hAnsi="Verdana" w:cs="Arial"/>
          <w:b/>
          <w:bCs/>
          <w:sz w:val="20"/>
          <w:szCs w:val="20"/>
          <w:lang w:val="es-ES" w:eastAsia="es-ES"/>
        </w:rPr>
        <w:t>p</w:t>
      </w:r>
      <w:r w:rsidRPr="00913AD2">
        <w:rPr>
          <w:rFonts w:ascii="Verdana" w:eastAsia="Times New Roman" w:hAnsi="Verdana" w:cs="Arial"/>
          <w:b/>
          <w:bCs/>
          <w:sz w:val="20"/>
          <w:szCs w:val="20"/>
          <w:lang w:val="es-ES" w:eastAsia="es-ES"/>
        </w:rPr>
        <w:t>lazo sobre acciones (o índices de acciones)</w:t>
      </w:r>
    </w:p>
    <w:p w14:paraId="5528B427"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51948D92" w14:textId="555FD3E6"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22</w:t>
      </w:r>
      <w:r w:rsidRPr="000E0B7B">
        <w:rPr>
          <w:rFonts w:ascii="Verdana" w:hAnsi="Verdana"/>
          <w:sz w:val="20"/>
          <w:szCs w:val="20"/>
        </w:rPr>
        <w:t>.</w:t>
      </w:r>
    </w:p>
    <w:p w14:paraId="15940E38" w14:textId="3E9D3847"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Estas operaciones deben descomponerse en 2 posiciones nocionales, una correspondiente a la acción (o índice de acciones) subyacente y otra correspondiente a un bono cero cupón con madurez residual igual al tiempo remanente para el cumplimiento del contrato.</w:t>
      </w:r>
    </w:p>
    <w:p w14:paraId="6BF229D9" w14:textId="77777777" w:rsidR="00DC17E7" w:rsidRPr="00653E80" w:rsidRDefault="00DC17E7" w:rsidP="00DC17E7">
      <w:pPr>
        <w:spacing w:after="0" w:line="240" w:lineRule="auto"/>
        <w:ind w:left="1134" w:hanging="567"/>
        <w:jc w:val="both"/>
        <w:rPr>
          <w:rFonts w:ascii="Verdana" w:eastAsia="Times New Roman" w:hAnsi="Verdana" w:cs="Arial"/>
          <w:sz w:val="20"/>
          <w:szCs w:val="20"/>
          <w:lang w:val="es-ES" w:eastAsia="es-ES"/>
        </w:rPr>
      </w:pPr>
    </w:p>
    <w:p w14:paraId="16A0BACC" w14:textId="60AB6C28"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23</w:t>
      </w:r>
      <w:r w:rsidRPr="000E0B7B">
        <w:rPr>
          <w:rFonts w:ascii="Verdana" w:hAnsi="Verdana"/>
          <w:sz w:val="20"/>
          <w:szCs w:val="20"/>
        </w:rPr>
        <w:t>.</w:t>
      </w:r>
    </w:p>
    <w:p w14:paraId="443C49D1" w14:textId="137B4AC6"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Cuando la entidad tenga una posición larga en las operaciones señaladas e</w:t>
      </w:r>
      <w:r w:rsidR="00401EB9">
        <w:rPr>
          <w:rFonts w:ascii="Verdana" w:eastAsia="Times New Roman" w:hAnsi="Verdana" w:cs="Arial"/>
          <w:sz w:val="20"/>
          <w:szCs w:val="20"/>
          <w:lang w:val="es-ES" w:eastAsia="es-ES"/>
        </w:rPr>
        <w:t xml:space="preserve">ntre los párrafos 1.1.A7.22. 1.1.A7.25. </w:t>
      </w:r>
      <w:r w:rsidRPr="00913AD2">
        <w:rPr>
          <w:rFonts w:ascii="Verdana" w:eastAsia="Times New Roman" w:hAnsi="Verdana" w:cs="Arial"/>
          <w:sz w:val="20"/>
          <w:szCs w:val="20"/>
          <w:lang w:val="es-ES" w:eastAsia="es-ES"/>
        </w:rPr>
        <w:t xml:space="preserve">(es decir que se compromete a comprar una acción o </w:t>
      </w:r>
      <w:r w:rsidRPr="00913AD2">
        <w:rPr>
          <w:rFonts w:ascii="Verdana" w:eastAsia="Times New Roman" w:hAnsi="Verdana" w:cs="Arial"/>
          <w:sz w:val="20"/>
          <w:szCs w:val="20"/>
          <w:lang w:val="es-ES" w:eastAsia="es-ES"/>
        </w:rPr>
        <w:lastRenderedPageBreak/>
        <w:t>índice de acciones a un precio previamente establecido en un punto de tiempo en el futuro), esta posición se descompone en:</w:t>
      </w:r>
    </w:p>
    <w:p w14:paraId="57E8A4A0"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566EFC16" w14:textId="77777777" w:rsidR="00913AD2" w:rsidRDefault="00DC17E7" w:rsidP="00913AD2">
      <w:pPr>
        <w:pStyle w:val="Prrafodelista"/>
        <w:numPr>
          <w:ilvl w:val="0"/>
          <w:numId w:val="46"/>
        </w:numPr>
        <w:spacing w:after="0" w:line="240" w:lineRule="auto"/>
        <w:ind w:left="567" w:hanging="567"/>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Una posición nocional larga en el título subyacente.</w:t>
      </w:r>
    </w:p>
    <w:p w14:paraId="28A673CF" w14:textId="77777777" w:rsidR="00913AD2" w:rsidRDefault="00913AD2" w:rsidP="00913AD2">
      <w:pPr>
        <w:pStyle w:val="Prrafodelista"/>
        <w:spacing w:after="0" w:line="240" w:lineRule="auto"/>
        <w:ind w:left="567"/>
        <w:jc w:val="both"/>
        <w:rPr>
          <w:rFonts w:ascii="Verdana" w:eastAsia="Times New Roman" w:hAnsi="Verdana" w:cs="Arial"/>
          <w:sz w:val="20"/>
          <w:szCs w:val="20"/>
          <w:lang w:val="es-ES" w:eastAsia="es-ES"/>
        </w:rPr>
      </w:pPr>
    </w:p>
    <w:p w14:paraId="13B5087B" w14:textId="7AC9BEB7" w:rsidR="00DC17E7" w:rsidRPr="00913AD2" w:rsidRDefault="00DC17E7" w:rsidP="00913AD2">
      <w:pPr>
        <w:pStyle w:val="Prrafodelista"/>
        <w:numPr>
          <w:ilvl w:val="0"/>
          <w:numId w:val="46"/>
        </w:numPr>
        <w:spacing w:after="0" w:line="240" w:lineRule="auto"/>
        <w:ind w:left="567" w:hanging="567"/>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Una posición nocional corta en un bono </w:t>
      </w:r>
      <w:proofErr w:type="gramStart"/>
      <w:r w:rsidRPr="00913AD2">
        <w:rPr>
          <w:rFonts w:ascii="Verdana" w:eastAsia="Times New Roman" w:hAnsi="Verdana" w:cs="Arial"/>
          <w:sz w:val="20"/>
          <w:szCs w:val="20"/>
          <w:lang w:val="es-ES" w:eastAsia="es-ES"/>
        </w:rPr>
        <w:t>cero cupón</w:t>
      </w:r>
      <w:proofErr w:type="gramEnd"/>
      <w:r w:rsidRPr="00913AD2">
        <w:rPr>
          <w:rFonts w:ascii="Verdana" w:eastAsia="Times New Roman" w:hAnsi="Verdana" w:cs="Arial"/>
          <w:sz w:val="20"/>
          <w:szCs w:val="20"/>
          <w:lang w:val="es-ES" w:eastAsia="es-ES"/>
        </w:rPr>
        <w:t xml:space="preserve"> con madurez residual igual al tiempo que resta para el cumplimiento del contrato (el valor nominal de esta posición corresponde al precio pactado).</w:t>
      </w:r>
    </w:p>
    <w:p w14:paraId="23130E95" w14:textId="77777777" w:rsidR="00DC17E7" w:rsidRPr="00653E80" w:rsidRDefault="00DC17E7" w:rsidP="00DC17E7">
      <w:pPr>
        <w:spacing w:after="0" w:line="240" w:lineRule="auto"/>
        <w:ind w:left="284"/>
        <w:jc w:val="both"/>
        <w:rPr>
          <w:rFonts w:ascii="Verdana" w:eastAsia="Times New Roman" w:hAnsi="Verdana" w:cs="Arial"/>
          <w:sz w:val="20"/>
          <w:szCs w:val="20"/>
          <w:lang w:val="es-ES" w:eastAsia="es-ES"/>
        </w:rPr>
      </w:pPr>
    </w:p>
    <w:p w14:paraId="25793FA3" w14:textId="04C9BC5B"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24</w:t>
      </w:r>
      <w:r w:rsidRPr="000E0B7B">
        <w:rPr>
          <w:rFonts w:ascii="Verdana" w:hAnsi="Verdana"/>
          <w:sz w:val="20"/>
          <w:szCs w:val="20"/>
        </w:rPr>
        <w:t>.</w:t>
      </w:r>
    </w:p>
    <w:p w14:paraId="2D2330F0" w14:textId="5D52F375"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Para el caso contrario (posición corta en el futuro, el forward o la operación a plazo), la primera posición nocional descrita es corta y la segunda larga.</w:t>
      </w:r>
    </w:p>
    <w:p w14:paraId="3A19339D"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00F359D3" w14:textId="05651FC4"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D966B1">
        <w:rPr>
          <w:rFonts w:ascii="Verdana" w:hAnsi="Verdana"/>
          <w:sz w:val="20"/>
          <w:szCs w:val="20"/>
        </w:rPr>
        <w:t>25</w:t>
      </w:r>
      <w:r w:rsidRPr="000E0B7B">
        <w:rPr>
          <w:rFonts w:ascii="Verdana" w:hAnsi="Verdana"/>
          <w:sz w:val="20"/>
          <w:szCs w:val="20"/>
        </w:rPr>
        <w:t>.</w:t>
      </w:r>
    </w:p>
    <w:p w14:paraId="73DDF25C" w14:textId="695787A7" w:rsidR="00DC17E7" w:rsidRPr="00913AD2" w:rsidRDefault="00DC17E7" w:rsidP="00913AD2">
      <w:pPr>
        <w:spacing w:after="0" w:line="240" w:lineRule="auto"/>
        <w:jc w:val="both"/>
        <w:rPr>
          <w:rFonts w:ascii="Verdana" w:eastAsia="Times New Roman" w:hAnsi="Verdana" w:cs="Arial"/>
          <w:sz w:val="20"/>
          <w:szCs w:val="20"/>
          <w:lang w:val="es-ES" w:eastAsia="es-ES"/>
        </w:rPr>
      </w:pPr>
      <w:r w:rsidRPr="00374906">
        <w:rPr>
          <w:rFonts w:ascii="Verdana" w:eastAsia="Times New Roman" w:hAnsi="Verdana" w:cs="Arial"/>
          <w:sz w:val="20"/>
          <w:szCs w:val="20"/>
          <w:lang w:val="es-ES" w:eastAsia="es-ES"/>
        </w:rPr>
        <w:t>Sólo la posición en el bono cero</w:t>
      </w:r>
      <w:r w:rsidR="00D556B2">
        <w:rPr>
          <w:rFonts w:ascii="Verdana" w:eastAsia="Times New Roman" w:hAnsi="Verdana" w:cs="Arial"/>
          <w:sz w:val="20"/>
          <w:szCs w:val="20"/>
          <w:lang w:val="es-ES" w:eastAsia="es-ES"/>
        </w:rPr>
        <w:t>-</w:t>
      </w:r>
      <w:r w:rsidRPr="00374906">
        <w:rPr>
          <w:rFonts w:ascii="Verdana" w:eastAsia="Times New Roman" w:hAnsi="Verdana" w:cs="Arial"/>
          <w:sz w:val="20"/>
          <w:szCs w:val="20"/>
          <w:lang w:val="es-ES" w:eastAsia="es-ES"/>
        </w:rPr>
        <w:t>cupón computará en el cálculo de riesgo de tasa de interés. La posición en acciones estará sujeta al factor de riesgo de precio de acciones.</w:t>
      </w:r>
    </w:p>
    <w:p w14:paraId="24A7BBF1"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51E1E497" w14:textId="19E6FA97" w:rsidR="00DC17E7" w:rsidRPr="00913AD2" w:rsidRDefault="00DC17E7" w:rsidP="00913AD2">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913AD2">
        <w:rPr>
          <w:rFonts w:ascii="Verdana" w:eastAsia="Times New Roman" w:hAnsi="Verdana" w:cs="Arial"/>
          <w:b/>
          <w:bCs/>
          <w:sz w:val="20"/>
          <w:szCs w:val="20"/>
          <w:lang w:val="es-ES" w:eastAsia="es-ES"/>
        </w:rPr>
        <w:t>Operaciones Carrusel</w:t>
      </w:r>
    </w:p>
    <w:p w14:paraId="620B5F1A"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6DF894C5" w14:textId="41109A39"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26</w:t>
      </w:r>
      <w:r w:rsidRPr="000E0B7B">
        <w:rPr>
          <w:rFonts w:ascii="Verdana" w:hAnsi="Verdana"/>
          <w:sz w:val="20"/>
          <w:szCs w:val="20"/>
        </w:rPr>
        <w:t>.</w:t>
      </w:r>
    </w:p>
    <w:p w14:paraId="694C5803" w14:textId="0E58D093" w:rsidR="00DC17E7" w:rsidRPr="00913AD2" w:rsidRDefault="00DC17E7" w:rsidP="00913AD2">
      <w:pPr>
        <w:spacing w:after="0" w:line="240" w:lineRule="auto"/>
        <w:jc w:val="both"/>
        <w:rPr>
          <w:rFonts w:ascii="Verdana" w:eastAsia="Times New Roman" w:hAnsi="Verdana" w:cs="Arial"/>
          <w:sz w:val="20"/>
          <w:szCs w:val="20"/>
          <w:highlight w:val="yellow"/>
          <w:lang w:val="es-ES" w:eastAsia="es-ES"/>
        </w:rPr>
      </w:pPr>
      <w:r w:rsidRPr="00913AD2">
        <w:rPr>
          <w:rFonts w:ascii="Verdana" w:eastAsia="Times New Roman" w:hAnsi="Verdana" w:cs="Arial"/>
          <w:sz w:val="20"/>
          <w:szCs w:val="20"/>
          <w:lang w:val="es-ES" w:eastAsia="es-ES"/>
        </w:rPr>
        <w:t xml:space="preserve">En términos financieros, un carrusel consiste en una secuencia de operaciones de compra y venta de un título a futuro. Por lo anterior, para efectos de la exposición a riesgos de mercado de que trata el presente </w:t>
      </w:r>
      <w:r w:rsidR="003769FF">
        <w:rPr>
          <w:rFonts w:ascii="Verdana" w:eastAsia="Times New Roman" w:hAnsi="Verdana" w:cs="Arial"/>
          <w:sz w:val="20"/>
          <w:szCs w:val="20"/>
          <w:lang w:val="es-ES" w:eastAsia="es-ES"/>
        </w:rPr>
        <w:t>c</w:t>
      </w:r>
      <w:r w:rsidRPr="00913AD2">
        <w:rPr>
          <w:rFonts w:ascii="Verdana" w:eastAsia="Times New Roman" w:hAnsi="Verdana" w:cs="Arial"/>
          <w:sz w:val="20"/>
          <w:szCs w:val="20"/>
          <w:lang w:val="es-ES" w:eastAsia="es-ES"/>
        </w:rPr>
        <w:t xml:space="preserve">apítulo, estas operaciones deben ser tratadas como una serie de operaciones de compra y venta a futuro del título subyacente. Cada una de estas operaciones debe ser tratada </w:t>
      </w:r>
      <w:proofErr w:type="gramStart"/>
      <w:r w:rsidRPr="00913AD2">
        <w:rPr>
          <w:rFonts w:ascii="Verdana" w:eastAsia="Times New Roman" w:hAnsi="Verdana" w:cs="Arial"/>
          <w:sz w:val="20"/>
          <w:szCs w:val="20"/>
          <w:lang w:val="es-ES" w:eastAsia="es-ES"/>
        </w:rPr>
        <w:t xml:space="preserve">de </w:t>
      </w:r>
      <w:r w:rsidRPr="007F7C01">
        <w:rPr>
          <w:rFonts w:ascii="Verdana" w:eastAsia="Times New Roman" w:hAnsi="Verdana" w:cs="Arial"/>
          <w:sz w:val="20"/>
          <w:szCs w:val="20"/>
          <w:lang w:val="es-ES" w:eastAsia="es-ES"/>
        </w:rPr>
        <w:t>acuerdo a</w:t>
      </w:r>
      <w:proofErr w:type="gramEnd"/>
      <w:r w:rsidRPr="007F7C01">
        <w:rPr>
          <w:rFonts w:ascii="Verdana" w:eastAsia="Times New Roman" w:hAnsi="Verdana" w:cs="Arial"/>
          <w:sz w:val="20"/>
          <w:szCs w:val="20"/>
          <w:lang w:val="es-ES" w:eastAsia="es-ES"/>
        </w:rPr>
        <w:t xml:space="preserve"> lo</w:t>
      </w:r>
      <w:r w:rsidR="007F7C01">
        <w:rPr>
          <w:rFonts w:ascii="Verdana" w:eastAsia="Times New Roman" w:hAnsi="Verdana" w:cs="Arial"/>
          <w:sz w:val="20"/>
          <w:szCs w:val="20"/>
          <w:lang w:val="es-ES" w:eastAsia="es-ES"/>
        </w:rPr>
        <w:t xml:space="preserve"> dispuesto</w:t>
      </w:r>
      <w:r w:rsidRPr="007F7C01">
        <w:rPr>
          <w:rFonts w:ascii="Verdana" w:eastAsia="Times New Roman" w:hAnsi="Verdana" w:cs="Arial"/>
          <w:sz w:val="20"/>
          <w:szCs w:val="20"/>
          <w:lang w:val="es-ES" w:eastAsia="es-ES"/>
        </w:rPr>
        <w:t xml:space="preserve"> en el literal </w:t>
      </w:r>
      <w:r w:rsidR="007F7C01">
        <w:rPr>
          <w:rFonts w:ascii="Verdana" w:eastAsia="Times New Roman" w:hAnsi="Verdana" w:cs="Arial"/>
          <w:sz w:val="20"/>
          <w:szCs w:val="20"/>
          <w:lang w:val="es-ES" w:eastAsia="es-ES"/>
        </w:rPr>
        <w:t>(</w:t>
      </w:r>
      <w:r w:rsidRPr="007F7C01">
        <w:rPr>
          <w:rFonts w:ascii="Verdana" w:eastAsia="Times New Roman" w:hAnsi="Verdana" w:cs="Arial"/>
          <w:sz w:val="20"/>
          <w:szCs w:val="20"/>
          <w:lang w:val="es-ES" w:eastAsia="es-ES"/>
        </w:rPr>
        <w:t>b</w:t>
      </w:r>
      <w:r w:rsidR="007F7C01">
        <w:rPr>
          <w:rFonts w:ascii="Verdana" w:eastAsia="Times New Roman" w:hAnsi="Verdana" w:cs="Arial"/>
          <w:sz w:val="20"/>
          <w:szCs w:val="20"/>
          <w:lang w:val="es-ES" w:eastAsia="es-ES"/>
        </w:rPr>
        <w:t>)</w:t>
      </w:r>
      <w:r w:rsidRPr="007F7C01">
        <w:rPr>
          <w:rFonts w:ascii="Verdana" w:eastAsia="Times New Roman" w:hAnsi="Verdana" w:cs="Arial"/>
          <w:sz w:val="20"/>
          <w:szCs w:val="20"/>
          <w:lang w:val="es-ES" w:eastAsia="es-ES"/>
        </w:rPr>
        <w:t xml:space="preserve"> </w:t>
      </w:r>
      <w:r w:rsidR="00D079CB" w:rsidRPr="007F7C01">
        <w:rPr>
          <w:rFonts w:ascii="Verdana" w:eastAsia="Times New Roman" w:hAnsi="Verdana" w:cs="Arial"/>
          <w:sz w:val="20"/>
          <w:szCs w:val="20"/>
          <w:lang w:val="es-ES" w:eastAsia="es-ES"/>
        </w:rPr>
        <w:t xml:space="preserve">del </w:t>
      </w:r>
      <w:r w:rsidR="007F7C01" w:rsidRPr="007F7C01">
        <w:rPr>
          <w:rFonts w:ascii="Verdana" w:eastAsia="Times New Roman" w:hAnsi="Verdana" w:cs="Arial"/>
          <w:sz w:val="20"/>
          <w:szCs w:val="20"/>
          <w:lang w:val="es-ES" w:eastAsia="es-ES"/>
        </w:rPr>
        <w:t>párrafo 1.1.A7.9.</w:t>
      </w:r>
    </w:p>
    <w:p w14:paraId="30D956B0"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1CDF717C" w14:textId="4E345236" w:rsidR="00DC17E7" w:rsidRPr="00913AD2" w:rsidRDefault="00DC17E7" w:rsidP="00913AD2">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913AD2">
        <w:rPr>
          <w:rFonts w:ascii="Verdana" w:eastAsia="Times New Roman" w:hAnsi="Verdana" w:cs="Arial"/>
          <w:b/>
          <w:bCs/>
          <w:sz w:val="20"/>
          <w:szCs w:val="20"/>
          <w:lang w:val="es-ES" w:eastAsia="es-ES"/>
        </w:rPr>
        <w:t>Opciones</w:t>
      </w:r>
    </w:p>
    <w:p w14:paraId="431169D4"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382B7781" w14:textId="764CED13"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27</w:t>
      </w:r>
      <w:r w:rsidRPr="000E0B7B">
        <w:rPr>
          <w:rFonts w:ascii="Verdana" w:hAnsi="Verdana"/>
          <w:sz w:val="20"/>
          <w:szCs w:val="20"/>
        </w:rPr>
        <w:t>.</w:t>
      </w:r>
    </w:p>
    <w:p w14:paraId="0E15C44F" w14:textId="680ADDF4"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El tratamiento de estas operaciones será </w:t>
      </w:r>
      <w:r w:rsidR="00D65A8D">
        <w:rPr>
          <w:rFonts w:ascii="Verdana" w:eastAsia="Times New Roman" w:hAnsi="Verdana" w:cs="Arial"/>
          <w:sz w:val="20"/>
          <w:szCs w:val="20"/>
          <w:lang w:val="es-ES" w:eastAsia="es-ES"/>
        </w:rPr>
        <w:t xml:space="preserve">el </w:t>
      </w:r>
      <w:r w:rsidRPr="00913AD2">
        <w:rPr>
          <w:rFonts w:ascii="Verdana" w:eastAsia="Times New Roman" w:hAnsi="Verdana" w:cs="Arial"/>
          <w:sz w:val="20"/>
          <w:szCs w:val="20"/>
          <w:lang w:val="es-ES" w:eastAsia="es-ES"/>
        </w:rPr>
        <w:t>descrito en</w:t>
      </w:r>
      <w:r w:rsidR="00783151">
        <w:rPr>
          <w:rFonts w:ascii="Verdana" w:eastAsia="Times New Roman" w:hAnsi="Verdana" w:cs="Arial"/>
          <w:sz w:val="20"/>
          <w:szCs w:val="20"/>
          <w:lang w:val="es-ES" w:eastAsia="es-ES"/>
        </w:rPr>
        <w:t xml:space="preserve">tre </w:t>
      </w:r>
      <w:r w:rsidR="00793FF3">
        <w:rPr>
          <w:rFonts w:ascii="Verdana" w:eastAsia="Times New Roman" w:hAnsi="Verdana" w:cs="Arial"/>
          <w:sz w:val="20"/>
          <w:szCs w:val="20"/>
          <w:lang w:val="es-ES" w:eastAsia="es-ES"/>
        </w:rPr>
        <w:t>los párrafos 1.1.A7.8</w:t>
      </w:r>
      <w:r w:rsidR="001E5EF1">
        <w:rPr>
          <w:rFonts w:ascii="Verdana" w:eastAsia="Times New Roman" w:hAnsi="Verdana" w:cs="Arial"/>
          <w:sz w:val="20"/>
          <w:szCs w:val="20"/>
          <w:lang w:val="es-ES" w:eastAsia="es-ES"/>
        </w:rPr>
        <w:t>6</w:t>
      </w:r>
      <w:r w:rsidR="00793FF3">
        <w:rPr>
          <w:rFonts w:ascii="Verdana" w:eastAsia="Times New Roman" w:hAnsi="Verdana" w:cs="Arial"/>
          <w:sz w:val="20"/>
          <w:szCs w:val="20"/>
          <w:lang w:val="es-ES" w:eastAsia="es-ES"/>
        </w:rPr>
        <w:t>. y 1.1.A7.9</w:t>
      </w:r>
      <w:r w:rsidR="001E5EF1">
        <w:rPr>
          <w:rFonts w:ascii="Verdana" w:eastAsia="Times New Roman" w:hAnsi="Verdana" w:cs="Arial"/>
          <w:sz w:val="20"/>
          <w:szCs w:val="20"/>
          <w:lang w:val="es-ES" w:eastAsia="es-ES"/>
        </w:rPr>
        <w:t>1</w:t>
      </w:r>
      <w:r w:rsidR="00793FF3">
        <w:rPr>
          <w:rFonts w:ascii="Verdana" w:eastAsia="Times New Roman" w:hAnsi="Verdana" w:cs="Arial"/>
          <w:sz w:val="20"/>
          <w:szCs w:val="20"/>
          <w:lang w:val="es-ES" w:eastAsia="es-ES"/>
        </w:rPr>
        <w:t xml:space="preserve">. </w:t>
      </w:r>
    </w:p>
    <w:p w14:paraId="7418B974" w14:textId="77777777" w:rsidR="00DC17E7" w:rsidRPr="00653E80" w:rsidRDefault="00DC17E7" w:rsidP="00DC17E7">
      <w:pPr>
        <w:spacing w:after="0" w:line="240" w:lineRule="auto"/>
        <w:ind w:left="1134" w:hanging="567"/>
        <w:jc w:val="both"/>
        <w:rPr>
          <w:rFonts w:ascii="Verdana" w:eastAsia="Times New Roman" w:hAnsi="Verdana" w:cs="Arial"/>
          <w:sz w:val="20"/>
          <w:szCs w:val="20"/>
          <w:lang w:val="es-ES" w:eastAsia="es-ES"/>
        </w:rPr>
      </w:pPr>
    </w:p>
    <w:p w14:paraId="368BD989" w14:textId="0082872E"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28</w:t>
      </w:r>
      <w:r w:rsidRPr="000E0B7B">
        <w:rPr>
          <w:rFonts w:ascii="Verdana" w:hAnsi="Verdana"/>
          <w:sz w:val="20"/>
          <w:szCs w:val="20"/>
        </w:rPr>
        <w:t>.</w:t>
      </w:r>
    </w:p>
    <w:p w14:paraId="738F7E2A" w14:textId="000CEB35"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Para valorar aquellas posiciones nocionales asimiladas a bonos </w:t>
      </w:r>
      <w:proofErr w:type="gramStart"/>
      <w:r w:rsidRPr="00913AD2">
        <w:rPr>
          <w:rFonts w:ascii="Verdana" w:eastAsia="Times New Roman" w:hAnsi="Verdana" w:cs="Arial"/>
          <w:sz w:val="20"/>
          <w:szCs w:val="20"/>
          <w:lang w:val="es-ES" w:eastAsia="es-ES"/>
        </w:rPr>
        <w:t>cero cupón</w:t>
      </w:r>
      <w:proofErr w:type="gramEnd"/>
      <w:r w:rsidRPr="00913AD2">
        <w:rPr>
          <w:rFonts w:ascii="Verdana" w:eastAsia="Times New Roman" w:hAnsi="Verdana" w:cs="Arial"/>
          <w:sz w:val="20"/>
          <w:szCs w:val="20"/>
          <w:lang w:val="es-ES" w:eastAsia="es-ES"/>
        </w:rPr>
        <w:t>, se deberán seguir las siguientes indicaciones:</w:t>
      </w:r>
    </w:p>
    <w:p w14:paraId="62E8082B"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01D5F21F" w14:textId="77777777" w:rsidR="00913AD2" w:rsidRDefault="00DC17E7" w:rsidP="00913AD2">
      <w:pPr>
        <w:pStyle w:val="Prrafodelista"/>
        <w:numPr>
          <w:ilvl w:val="0"/>
          <w:numId w:val="22"/>
        </w:numPr>
        <w:spacing w:after="0" w:line="240" w:lineRule="auto"/>
        <w:ind w:left="567" w:hanging="567"/>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Cuando la posición se encuentre en moneda legal, se deberá utilizar la curva </w:t>
      </w:r>
      <w:proofErr w:type="gramStart"/>
      <w:r w:rsidRPr="00913AD2">
        <w:rPr>
          <w:rFonts w:ascii="Verdana" w:eastAsia="Times New Roman" w:hAnsi="Verdana" w:cs="Arial"/>
          <w:sz w:val="20"/>
          <w:szCs w:val="20"/>
          <w:lang w:val="es-ES" w:eastAsia="es-ES"/>
        </w:rPr>
        <w:t>cero cupón</w:t>
      </w:r>
      <w:proofErr w:type="gramEnd"/>
      <w:r w:rsidRPr="00913AD2">
        <w:rPr>
          <w:rFonts w:ascii="Verdana" w:eastAsia="Times New Roman" w:hAnsi="Verdana" w:cs="Arial"/>
          <w:sz w:val="20"/>
          <w:szCs w:val="20"/>
          <w:lang w:val="es-ES" w:eastAsia="es-ES"/>
        </w:rPr>
        <w:t xml:space="preserve"> para títulos TES tasa fija en pesos suministrados por el proveedor de precios para valoración designado como oficial para el segmento correspondiente.  </w:t>
      </w:r>
    </w:p>
    <w:p w14:paraId="75310995" w14:textId="77777777" w:rsidR="00913AD2" w:rsidRDefault="00913AD2" w:rsidP="00913AD2">
      <w:pPr>
        <w:pStyle w:val="Prrafodelista"/>
        <w:spacing w:after="0" w:line="240" w:lineRule="auto"/>
        <w:ind w:left="567"/>
        <w:jc w:val="both"/>
        <w:rPr>
          <w:rFonts w:ascii="Verdana" w:eastAsia="Times New Roman" w:hAnsi="Verdana" w:cs="Arial"/>
          <w:sz w:val="20"/>
          <w:szCs w:val="20"/>
          <w:lang w:val="es-ES" w:eastAsia="es-ES"/>
        </w:rPr>
      </w:pPr>
    </w:p>
    <w:p w14:paraId="3C417EB0" w14:textId="0AEE1CC6" w:rsidR="00913AD2" w:rsidRDefault="00DC17E7" w:rsidP="00913AD2">
      <w:pPr>
        <w:pStyle w:val="Prrafodelista"/>
        <w:numPr>
          <w:ilvl w:val="0"/>
          <w:numId w:val="22"/>
        </w:numPr>
        <w:spacing w:after="0" w:line="240" w:lineRule="auto"/>
        <w:ind w:left="567" w:hanging="567"/>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Cuando la posición se encuentre denominada en UVR se deberá utilizar la curva </w:t>
      </w:r>
      <w:proofErr w:type="gramStart"/>
      <w:r w:rsidRPr="00913AD2">
        <w:rPr>
          <w:rFonts w:ascii="Verdana" w:eastAsia="Times New Roman" w:hAnsi="Verdana" w:cs="Arial"/>
          <w:sz w:val="20"/>
          <w:szCs w:val="20"/>
          <w:lang w:val="es-ES" w:eastAsia="es-ES"/>
        </w:rPr>
        <w:t>cero cupón</w:t>
      </w:r>
      <w:proofErr w:type="gramEnd"/>
      <w:r w:rsidRPr="00913AD2">
        <w:rPr>
          <w:rFonts w:ascii="Verdana" w:eastAsia="Times New Roman" w:hAnsi="Verdana" w:cs="Arial"/>
          <w:sz w:val="20"/>
          <w:szCs w:val="20"/>
          <w:lang w:val="es-ES" w:eastAsia="es-ES"/>
        </w:rPr>
        <w:t xml:space="preserve"> para títulos TES en UVR suministrados por el proveedor de precios para valoración designado como oficial para el segmento correspondiente</w:t>
      </w:r>
      <w:r w:rsidR="00913AD2">
        <w:rPr>
          <w:rFonts w:ascii="Verdana" w:eastAsia="Times New Roman" w:hAnsi="Verdana" w:cs="Arial"/>
          <w:sz w:val="20"/>
          <w:szCs w:val="20"/>
          <w:lang w:val="es-ES" w:eastAsia="es-ES"/>
        </w:rPr>
        <w:t>.</w:t>
      </w:r>
      <w:r w:rsidRPr="00913AD2">
        <w:rPr>
          <w:rFonts w:ascii="Verdana" w:eastAsia="Times New Roman" w:hAnsi="Verdana" w:cs="Arial"/>
          <w:sz w:val="20"/>
          <w:szCs w:val="20"/>
          <w:lang w:val="es-ES" w:eastAsia="es-ES"/>
        </w:rPr>
        <w:t xml:space="preserve"> </w:t>
      </w:r>
    </w:p>
    <w:p w14:paraId="37A5E82D" w14:textId="77777777" w:rsidR="00913AD2" w:rsidRPr="00913AD2" w:rsidRDefault="00913AD2" w:rsidP="00913AD2">
      <w:pPr>
        <w:pStyle w:val="Prrafodelista"/>
        <w:rPr>
          <w:rFonts w:ascii="Verdana" w:eastAsia="Times New Roman" w:hAnsi="Verdana" w:cs="Arial"/>
          <w:sz w:val="20"/>
          <w:szCs w:val="20"/>
          <w:lang w:val="es-ES" w:eastAsia="es-ES"/>
        </w:rPr>
      </w:pPr>
    </w:p>
    <w:p w14:paraId="53EB53CD" w14:textId="2BAA3860" w:rsidR="00DC17E7" w:rsidRPr="00913AD2" w:rsidRDefault="00DC17E7" w:rsidP="00913AD2">
      <w:pPr>
        <w:pStyle w:val="Prrafodelista"/>
        <w:numPr>
          <w:ilvl w:val="0"/>
          <w:numId w:val="22"/>
        </w:numPr>
        <w:spacing w:after="0" w:line="240" w:lineRule="auto"/>
        <w:ind w:left="567" w:hanging="567"/>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Para el caso de posiciones denominadas en moneda extranjera, la tasa de descuento aplicable es la tasa </w:t>
      </w:r>
      <w:proofErr w:type="spellStart"/>
      <w:r w:rsidRPr="00913AD2">
        <w:rPr>
          <w:rFonts w:ascii="Verdana" w:eastAsia="Times New Roman" w:hAnsi="Verdana" w:cs="Arial"/>
          <w:i/>
          <w:iCs/>
          <w:sz w:val="20"/>
          <w:szCs w:val="20"/>
          <w:lang w:val="es-ES" w:eastAsia="es-ES"/>
        </w:rPr>
        <w:t>Secured</w:t>
      </w:r>
      <w:proofErr w:type="spellEnd"/>
      <w:r w:rsidRPr="00913AD2">
        <w:rPr>
          <w:rFonts w:ascii="Verdana" w:eastAsia="Times New Roman" w:hAnsi="Verdana" w:cs="Arial"/>
          <w:i/>
          <w:iCs/>
          <w:sz w:val="20"/>
          <w:szCs w:val="20"/>
          <w:lang w:val="es-ES" w:eastAsia="es-ES"/>
        </w:rPr>
        <w:t xml:space="preserve"> Overnight </w:t>
      </w:r>
      <w:proofErr w:type="spellStart"/>
      <w:r w:rsidRPr="00913AD2">
        <w:rPr>
          <w:rFonts w:ascii="Verdana" w:eastAsia="Times New Roman" w:hAnsi="Verdana" w:cs="Arial"/>
          <w:i/>
          <w:iCs/>
          <w:sz w:val="20"/>
          <w:szCs w:val="20"/>
          <w:lang w:val="es-ES" w:eastAsia="es-ES"/>
        </w:rPr>
        <w:t>Financing</w:t>
      </w:r>
      <w:proofErr w:type="spellEnd"/>
      <w:r w:rsidRPr="00913AD2">
        <w:rPr>
          <w:rFonts w:ascii="Verdana" w:eastAsia="Times New Roman" w:hAnsi="Verdana" w:cs="Arial"/>
          <w:i/>
          <w:iCs/>
          <w:sz w:val="20"/>
          <w:szCs w:val="20"/>
          <w:lang w:val="es-ES" w:eastAsia="es-ES"/>
        </w:rPr>
        <w:t xml:space="preserve"> Rate (SOFR).</w:t>
      </w:r>
      <w:r w:rsidRPr="00913AD2" w:rsidDel="00676AA1">
        <w:rPr>
          <w:rFonts w:ascii="Verdana" w:eastAsia="Times New Roman" w:hAnsi="Verdana" w:cs="Arial"/>
          <w:sz w:val="20"/>
          <w:szCs w:val="20"/>
          <w:lang w:val="es-ES" w:eastAsia="es-ES"/>
        </w:rPr>
        <w:t xml:space="preserve"> </w:t>
      </w:r>
    </w:p>
    <w:p w14:paraId="05FAC83A"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00E00A01" w14:textId="3EC28AF6" w:rsidR="00DC17E7" w:rsidRPr="00913AD2" w:rsidRDefault="00DC17E7" w:rsidP="00913AD2">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913AD2">
        <w:rPr>
          <w:rFonts w:ascii="Verdana" w:eastAsia="Times New Roman" w:hAnsi="Verdana" w:cs="Arial"/>
          <w:b/>
          <w:bCs/>
          <w:sz w:val="20"/>
          <w:szCs w:val="20"/>
          <w:lang w:val="es-ES" w:eastAsia="es-ES"/>
        </w:rPr>
        <w:t>Notas estructuradas</w:t>
      </w:r>
    </w:p>
    <w:p w14:paraId="2DEC6CEE"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08AE36BE" w14:textId="28F3FCD9"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29</w:t>
      </w:r>
      <w:r w:rsidRPr="000E0B7B">
        <w:rPr>
          <w:rFonts w:ascii="Verdana" w:hAnsi="Verdana"/>
          <w:sz w:val="20"/>
          <w:szCs w:val="20"/>
        </w:rPr>
        <w:t>.</w:t>
      </w:r>
    </w:p>
    <w:p w14:paraId="621BB283" w14:textId="5432773D"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El riesgo de mercado de las notas estructuradas que puedan descomponerse en instrumentos de renta fija o variable e instrumentos derivados debe calcularse para cada uno de sus componentes.</w:t>
      </w:r>
    </w:p>
    <w:p w14:paraId="0C3A14E0" w14:textId="77777777" w:rsidR="00813D86" w:rsidRPr="00653E80" w:rsidRDefault="00813D86" w:rsidP="002F3F94">
      <w:pPr>
        <w:spacing w:after="0" w:line="240" w:lineRule="auto"/>
        <w:jc w:val="both"/>
        <w:rPr>
          <w:rFonts w:ascii="Verdana" w:eastAsia="Times New Roman" w:hAnsi="Verdana" w:cs="Arial"/>
          <w:sz w:val="20"/>
          <w:szCs w:val="20"/>
          <w:lang w:val="es-ES" w:eastAsia="es-ES"/>
        </w:rPr>
      </w:pPr>
    </w:p>
    <w:p w14:paraId="4D83A754" w14:textId="32841A53"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30</w:t>
      </w:r>
      <w:r w:rsidRPr="000E0B7B">
        <w:rPr>
          <w:rFonts w:ascii="Verdana" w:hAnsi="Verdana"/>
          <w:sz w:val="20"/>
          <w:szCs w:val="20"/>
        </w:rPr>
        <w:t>.</w:t>
      </w:r>
    </w:p>
    <w:p w14:paraId="4AC88E13" w14:textId="61837293" w:rsidR="00DC17E7" w:rsidRDefault="00DC17E7" w:rsidP="000E4B29">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Cuando se trate de notas estructuradas que, de acuerdo con su </w:t>
      </w:r>
      <w:r w:rsidR="00BD7D65">
        <w:rPr>
          <w:rFonts w:ascii="Verdana" w:eastAsia="Times New Roman" w:hAnsi="Verdana" w:cs="Arial"/>
          <w:sz w:val="20"/>
          <w:szCs w:val="20"/>
          <w:lang w:val="es-ES" w:eastAsia="es-ES"/>
        </w:rPr>
        <w:t xml:space="preserve">estructura y metodología de </w:t>
      </w:r>
      <w:r w:rsidRPr="00913AD2">
        <w:rPr>
          <w:rFonts w:ascii="Verdana" w:eastAsia="Times New Roman" w:hAnsi="Verdana" w:cs="Arial"/>
          <w:sz w:val="20"/>
          <w:szCs w:val="20"/>
          <w:lang w:val="es-ES" w:eastAsia="es-ES"/>
        </w:rPr>
        <w:t xml:space="preserve">valoración, </w:t>
      </w:r>
      <w:r w:rsidR="00B54EFA">
        <w:rPr>
          <w:rFonts w:ascii="Verdana" w:eastAsia="Times New Roman" w:hAnsi="Verdana" w:cs="Arial"/>
          <w:sz w:val="20"/>
          <w:szCs w:val="20"/>
          <w:lang w:val="es-ES" w:eastAsia="es-ES"/>
        </w:rPr>
        <w:t xml:space="preserve">se </w:t>
      </w:r>
      <w:r w:rsidRPr="00913AD2">
        <w:rPr>
          <w:rFonts w:ascii="Verdana" w:eastAsia="Times New Roman" w:hAnsi="Verdana" w:cs="Arial"/>
          <w:sz w:val="20"/>
          <w:szCs w:val="20"/>
          <w:lang w:val="es-ES" w:eastAsia="es-ES"/>
        </w:rPr>
        <w:t xml:space="preserve">puedan descomponer, el riesgo de mercado </w:t>
      </w:r>
      <w:r w:rsidR="00B54EFA">
        <w:rPr>
          <w:rFonts w:ascii="Verdana" w:eastAsia="Times New Roman" w:hAnsi="Verdana" w:cs="Arial"/>
          <w:sz w:val="20"/>
          <w:szCs w:val="20"/>
          <w:lang w:val="es-ES" w:eastAsia="es-ES"/>
        </w:rPr>
        <w:t xml:space="preserve">se </w:t>
      </w:r>
      <w:r w:rsidRPr="00913AD2">
        <w:rPr>
          <w:rFonts w:ascii="Verdana" w:eastAsia="Times New Roman" w:hAnsi="Verdana" w:cs="Arial"/>
          <w:sz w:val="20"/>
          <w:szCs w:val="20"/>
          <w:lang w:val="es-ES" w:eastAsia="es-ES"/>
        </w:rPr>
        <w:t>deberá calcular teniendo en cuenta:</w:t>
      </w:r>
      <w:r w:rsidR="009D62B6">
        <w:rPr>
          <w:rFonts w:ascii="Verdana" w:eastAsia="Times New Roman" w:hAnsi="Verdana" w:cs="Arial"/>
          <w:sz w:val="20"/>
          <w:szCs w:val="20"/>
          <w:lang w:val="es-ES" w:eastAsia="es-ES"/>
        </w:rPr>
        <w:t xml:space="preserve"> </w:t>
      </w:r>
      <w:r w:rsidRPr="00913AD2">
        <w:rPr>
          <w:rFonts w:ascii="Verdana" w:eastAsia="Times New Roman" w:hAnsi="Verdana" w:cs="Arial"/>
          <w:sz w:val="20"/>
          <w:szCs w:val="20"/>
          <w:lang w:val="es-ES" w:eastAsia="es-ES"/>
        </w:rPr>
        <w:t>(i) el módulo de tasa de interés, de acuerdo con las reglas contenidas en</w:t>
      </w:r>
      <w:r w:rsidR="00AF7DB5">
        <w:rPr>
          <w:rFonts w:ascii="Verdana" w:eastAsia="Times New Roman" w:hAnsi="Verdana" w:cs="Arial"/>
          <w:sz w:val="20"/>
          <w:szCs w:val="20"/>
          <w:lang w:val="es-ES" w:eastAsia="es-ES"/>
        </w:rPr>
        <w:t>tre los párrafos 1.1.A7</w:t>
      </w:r>
      <w:r w:rsidR="003F630B">
        <w:rPr>
          <w:rFonts w:ascii="Verdana" w:eastAsia="Times New Roman" w:hAnsi="Verdana" w:cs="Arial"/>
          <w:sz w:val="20"/>
          <w:szCs w:val="20"/>
          <w:lang w:val="es-ES" w:eastAsia="es-ES"/>
        </w:rPr>
        <w:t>.38</w:t>
      </w:r>
      <w:r w:rsidR="003F630B" w:rsidRPr="00B166CA">
        <w:rPr>
          <w:rFonts w:ascii="Verdana" w:eastAsia="Times New Roman" w:hAnsi="Verdana" w:cs="Arial"/>
          <w:sz w:val="20"/>
          <w:szCs w:val="20"/>
          <w:lang w:val="es-ES" w:eastAsia="es-ES"/>
        </w:rPr>
        <w:t>. y 1.1.A7.5</w:t>
      </w:r>
      <w:r w:rsidR="00807DAE">
        <w:rPr>
          <w:rFonts w:ascii="Verdana" w:eastAsia="Times New Roman" w:hAnsi="Verdana" w:cs="Arial"/>
          <w:sz w:val="20"/>
          <w:szCs w:val="20"/>
          <w:lang w:val="es-ES" w:eastAsia="es-ES"/>
        </w:rPr>
        <w:t>7</w:t>
      </w:r>
      <w:r w:rsidR="003F630B" w:rsidRPr="00B166CA">
        <w:rPr>
          <w:rFonts w:ascii="Verdana" w:eastAsia="Times New Roman" w:hAnsi="Verdana" w:cs="Arial"/>
          <w:sz w:val="20"/>
          <w:szCs w:val="20"/>
          <w:lang w:val="es-ES" w:eastAsia="es-ES"/>
        </w:rPr>
        <w:t>.</w:t>
      </w:r>
      <w:r w:rsidRPr="00B166CA">
        <w:rPr>
          <w:rFonts w:ascii="Verdana" w:eastAsia="Times New Roman" w:hAnsi="Verdana" w:cs="Arial"/>
          <w:sz w:val="20"/>
          <w:szCs w:val="20"/>
          <w:lang w:val="es-ES" w:eastAsia="es-ES"/>
        </w:rPr>
        <w:t>, cuando se trate de instrumentos de renta fija; (ii) el factor de riesgo de tasa de cambio, de acuerdo con las reglas contenidas en</w:t>
      </w:r>
      <w:r w:rsidR="003F630B" w:rsidRPr="00B166CA">
        <w:rPr>
          <w:rFonts w:ascii="Verdana" w:eastAsia="Times New Roman" w:hAnsi="Verdana" w:cs="Arial"/>
          <w:sz w:val="20"/>
          <w:szCs w:val="20"/>
          <w:lang w:val="es-ES" w:eastAsia="es-ES"/>
        </w:rPr>
        <w:t xml:space="preserve"> los párrafos del 1.1.A7</w:t>
      </w:r>
      <w:r w:rsidR="00877E0D" w:rsidRPr="00B166CA">
        <w:rPr>
          <w:rFonts w:ascii="Verdana" w:eastAsia="Times New Roman" w:hAnsi="Verdana" w:cs="Arial"/>
          <w:sz w:val="20"/>
          <w:szCs w:val="20"/>
          <w:lang w:val="es-ES" w:eastAsia="es-ES"/>
        </w:rPr>
        <w:t>.5</w:t>
      </w:r>
      <w:r w:rsidR="00CD2E39">
        <w:rPr>
          <w:rFonts w:ascii="Verdana" w:eastAsia="Times New Roman" w:hAnsi="Verdana" w:cs="Arial"/>
          <w:sz w:val="20"/>
          <w:szCs w:val="20"/>
          <w:lang w:val="es-ES" w:eastAsia="es-ES"/>
        </w:rPr>
        <w:t>8</w:t>
      </w:r>
      <w:r w:rsidR="00877E0D" w:rsidRPr="00B166CA">
        <w:rPr>
          <w:rFonts w:ascii="Verdana" w:eastAsia="Times New Roman" w:hAnsi="Verdana" w:cs="Arial"/>
          <w:sz w:val="20"/>
          <w:szCs w:val="20"/>
          <w:lang w:val="es-ES" w:eastAsia="es-ES"/>
        </w:rPr>
        <w:t>. al 1.1.A7.6</w:t>
      </w:r>
      <w:r w:rsidR="00476B18">
        <w:rPr>
          <w:rFonts w:ascii="Verdana" w:eastAsia="Times New Roman" w:hAnsi="Verdana" w:cs="Arial"/>
          <w:sz w:val="20"/>
          <w:szCs w:val="20"/>
          <w:lang w:val="es-ES" w:eastAsia="es-ES"/>
        </w:rPr>
        <w:t>7</w:t>
      </w:r>
      <w:r w:rsidR="00877E0D" w:rsidRPr="00B166CA">
        <w:rPr>
          <w:rFonts w:ascii="Verdana" w:eastAsia="Times New Roman" w:hAnsi="Verdana" w:cs="Arial"/>
          <w:sz w:val="20"/>
          <w:szCs w:val="20"/>
          <w:lang w:val="es-ES" w:eastAsia="es-ES"/>
        </w:rPr>
        <w:t>.</w:t>
      </w:r>
      <w:r w:rsidRPr="00B166CA">
        <w:rPr>
          <w:rFonts w:ascii="Verdana" w:eastAsia="Times New Roman" w:hAnsi="Verdana" w:cs="Arial"/>
          <w:sz w:val="20"/>
          <w:szCs w:val="20"/>
          <w:lang w:val="es-ES" w:eastAsia="es-ES"/>
        </w:rPr>
        <w:t>; (iii) el factor de riesgo de precio de acciones o índice accionario, de acuerdo con las reglas contenidas en</w:t>
      </w:r>
      <w:r w:rsidR="000E4B29" w:rsidRPr="00B166CA">
        <w:rPr>
          <w:rFonts w:ascii="Verdana" w:eastAsia="Times New Roman" w:hAnsi="Verdana" w:cs="Arial"/>
          <w:sz w:val="20"/>
          <w:szCs w:val="20"/>
          <w:lang w:val="es-ES" w:eastAsia="es-ES"/>
        </w:rPr>
        <w:t>tre los párrafos 1.1.A7.6</w:t>
      </w:r>
      <w:r w:rsidR="00EA1340">
        <w:rPr>
          <w:rFonts w:ascii="Verdana" w:eastAsia="Times New Roman" w:hAnsi="Verdana" w:cs="Arial"/>
          <w:sz w:val="20"/>
          <w:szCs w:val="20"/>
          <w:lang w:val="es-ES" w:eastAsia="es-ES"/>
        </w:rPr>
        <w:t>8</w:t>
      </w:r>
      <w:r w:rsidR="000E4B29" w:rsidRPr="00B166CA">
        <w:rPr>
          <w:rFonts w:ascii="Verdana" w:eastAsia="Times New Roman" w:hAnsi="Verdana" w:cs="Arial"/>
          <w:sz w:val="20"/>
          <w:szCs w:val="20"/>
          <w:lang w:val="es-ES" w:eastAsia="es-ES"/>
        </w:rPr>
        <w:t>. y 1.1.A7.7</w:t>
      </w:r>
      <w:r w:rsidR="00EA1340">
        <w:rPr>
          <w:rFonts w:ascii="Verdana" w:eastAsia="Times New Roman" w:hAnsi="Verdana" w:cs="Arial"/>
          <w:sz w:val="20"/>
          <w:szCs w:val="20"/>
          <w:lang w:val="es-ES" w:eastAsia="es-ES"/>
        </w:rPr>
        <w:t>2</w:t>
      </w:r>
      <w:r w:rsidR="000E4B29" w:rsidRPr="00B166CA">
        <w:rPr>
          <w:rFonts w:ascii="Verdana" w:eastAsia="Times New Roman" w:hAnsi="Verdana" w:cs="Arial"/>
          <w:sz w:val="20"/>
          <w:szCs w:val="20"/>
          <w:lang w:val="es-ES" w:eastAsia="es-ES"/>
        </w:rPr>
        <w:t>.</w:t>
      </w:r>
      <w:r w:rsidRPr="00B166CA">
        <w:rPr>
          <w:rFonts w:ascii="Verdana" w:eastAsia="Times New Roman" w:hAnsi="Verdana" w:cs="Arial"/>
          <w:sz w:val="20"/>
          <w:szCs w:val="20"/>
          <w:lang w:val="es-ES" w:eastAsia="es-ES"/>
        </w:rPr>
        <w:t>, para el caso de instrumentos de renta variable; y (iv) el factor de riesgo de operaciones de derivados de crédito, de acuerdo con las reglas contenidas en</w:t>
      </w:r>
      <w:r w:rsidR="000E4B29" w:rsidRPr="00B166CA">
        <w:rPr>
          <w:rFonts w:ascii="Verdana" w:eastAsia="Times New Roman" w:hAnsi="Verdana" w:cs="Arial"/>
          <w:sz w:val="20"/>
          <w:szCs w:val="20"/>
          <w:lang w:val="es-ES" w:eastAsia="es-ES"/>
        </w:rPr>
        <w:t xml:space="preserve">tre los párrafos </w:t>
      </w:r>
      <w:r w:rsidR="00B166CA" w:rsidRPr="00B166CA">
        <w:rPr>
          <w:rFonts w:ascii="Verdana" w:eastAsia="Times New Roman" w:hAnsi="Verdana" w:cs="Arial"/>
          <w:sz w:val="20"/>
          <w:szCs w:val="20"/>
          <w:lang w:val="es-ES" w:eastAsia="es-ES"/>
        </w:rPr>
        <w:t>1.1.A7.9</w:t>
      </w:r>
      <w:r w:rsidR="00EA1340">
        <w:rPr>
          <w:rFonts w:ascii="Verdana" w:eastAsia="Times New Roman" w:hAnsi="Verdana" w:cs="Arial"/>
          <w:sz w:val="20"/>
          <w:szCs w:val="20"/>
          <w:lang w:val="es-ES" w:eastAsia="es-ES"/>
        </w:rPr>
        <w:t>3</w:t>
      </w:r>
      <w:r w:rsidR="00B166CA" w:rsidRPr="00B166CA">
        <w:rPr>
          <w:rFonts w:ascii="Verdana" w:eastAsia="Times New Roman" w:hAnsi="Verdana" w:cs="Arial"/>
          <w:sz w:val="20"/>
          <w:szCs w:val="20"/>
          <w:lang w:val="es-ES" w:eastAsia="es-ES"/>
        </w:rPr>
        <w:t>. y 1.1.A7.9</w:t>
      </w:r>
      <w:r w:rsidR="00F130A5">
        <w:rPr>
          <w:rFonts w:ascii="Verdana" w:eastAsia="Times New Roman" w:hAnsi="Verdana" w:cs="Arial"/>
          <w:sz w:val="20"/>
          <w:szCs w:val="20"/>
          <w:lang w:val="es-ES" w:eastAsia="es-ES"/>
        </w:rPr>
        <w:t>7</w:t>
      </w:r>
      <w:r w:rsidR="00B166CA" w:rsidRPr="00B166CA">
        <w:rPr>
          <w:rFonts w:ascii="Verdana" w:eastAsia="Times New Roman" w:hAnsi="Verdana" w:cs="Arial"/>
          <w:sz w:val="20"/>
          <w:szCs w:val="20"/>
          <w:lang w:val="es-ES" w:eastAsia="es-ES"/>
        </w:rPr>
        <w:t>.</w:t>
      </w:r>
    </w:p>
    <w:p w14:paraId="565D3AF9" w14:textId="77777777" w:rsidR="00B166CA" w:rsidRDefault="00B166CA" w:rsidP="000E4B29">
      <w:pPr>
        <w:spacing w:after="0" w:line="240" w:lineRule="auto"/>
        <w:jc w:val="both"/>
        <w:rPr>
          <w:rFonts w:ascii="Verdana" w:eastAsia="Times New Roman" w:hAnsi="Verdana" w:cs="Arial"/>
          <w:sz w:val="20"/>
          <w:szCs w:val="20"/>
          <w:lang w:val="es-ES" w:eastAsia="es-ES"/>
        </w:rPr>
      </w:pPr>
    </w:p>
    <w:p w14:paraId="2604FAB3" w14:textId="77777777" w:rsidR="00D556B2" w:rsidRDefault="00D556B2" w:rsidP="00913AD2">
      <w:pPr>
        <w:spacing w:after="0"/>
        <w:rPr>
          <w:rFonts w:ascii="Verdana" w:hAnsi="Verdana"/>
          <w:sz w:val="20"/>
          <w:szCs w:val="20"/>
        </w:rPr>
      </w:pPr>
    </w:p>
    <w:p w14:paraId="66E2101B" w14:textId="77777777" w:rsidR="00D556B2" w:rsidRDefault="00D556B2" w:rsidP="00913AD2">
      <w:pPr>
        <w:spacing w:after="0"/>
        <w:rPr>
          <w:rFonts w:ascii="Verdana" w:hAnsi="Verdana"/>
          <w:sz w:val="20"/>
          <w:szCs w:val="20"/>
        </w:rPr>
      </w:pPr>
    </w:p>
    <w:p w14:paraId="31E6CE1E" w14:textId="28127367" w:rsidR="00913AD2" w:rsidRPr="000E0B7B" w:rsidRDefault="00913AD2" w:rsidP="00913AD2">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31</w:t>
      </w:r>
      <w:r w:rsidRPr="000E0B7B">
        <w:rPr>
          <w:rFonts w:ascii="Verdana" w:hAnsi="Verdana"/>
          <w:sz w:val="20"/>
          <w:szCs w:val="20"/>
        </w:rPr>
        <w:t>.</w:t>
      </w:r>
    </w:p>
    <w:p w14:paraId="0AFF5ED9" w14:textId="64A7D4C8"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 xml:space="preserve">Cuando se trate de notas estructuradas que, de acuerdo con </w:t>
      </w:r>
      <w:r w:rsidR="00C73FD3">
        <w:rPr>
          <w:rFonts w:ascii="Verdana" w:eastAsia="Times New Roman" w:hAnsi="Verdana" w:cs="Arial"/>
          <w:sz w:val="20"/>
          <w:szCs w:val="20"/>
          <w:lang w:val="es-ES" w:eastAsia="es-ES"/>
        </w:rPr>
        <w:t xml:space="preserve">su estructura y </w:t>
      </w:r>
      <w:r w:rsidR="00A85784">
        <w:rPr>
          <w:rFonts w:ascii="Verdana" w:eastAsia="Times New Roman" w:hAnsi="Verdana" w:cs="Arial"/>
          <w:sz w:val="20"/>
          <w:szCs w:val="20"/>
          <w:lang w:val="es-ES" w:eastAsia="es-ES"/>
        </w:rPr>
        <w:t xml:space="preserve">metodología </w:t>
      </w:r>
      <w:r w:rsidR="00B1711C">
        <w:rPr>
          <w:rFonts w:ascii="Verdana" w:eastAsia="Times New Roman" w:hAnsi="Verdana" w:cs="Arial"/>
          <w:sz w:val="20"/>
          <w:szCs w:val="20"/>
          <w:lang w:val="es-ES" w:eastAsia="es-ES"/>
        </w:rPr>
        <w:t xml:space="preserve">de </w:t>
      </w:r>
      <w:r w:rsidRPr="00913AD2">
        <w:rPr>
          <w:rFonts w:ascii="Verdana" w:eastAsia="Times New Roman" w:hAnsi="Verdana" w:cs="Arial"/>
          <w:sz w:val="20"/>
          <w:szCs w:val="20"/>
          <w:lang w:val="es-ES" w:eastAsia="es-ES"/>
        </w:rPr>
        <w:t>valoración</w:t>
      </w:r>
      <w:r w:rsidR="000426B5">
        <w:rPr>
          <w:rFonts w:ascii="Verdana" w:eastAsia="Times New Roman" w:hAnsi="Verdana" w:cs="Arial"/>
          <w:sz w:val="20"/>
          <w:szCs w:val="20"/>
          <w:lang w:val="es-ES" w:eastAsia="es-ES"/>
        </w:rPr>
        <w:t xml:space="preserve"> </w:t>
      </w:r>
      <w:r w:rsidR="00A85784">
        <w:rPr>
          <w:rFonts w:ascii="Verdana" w:eastAsia="Times New Roman" w:hAnsi="Verdana" w:cs="Arial"/>
          <w:sz w:val="20"/>
          <w:szCs w:val="20"/>
          <w:lang w:val="es-ES" w:eastAsia="es-ES"/>
        </w:rPr>
        <w:t xml:space="preserve">de inversiones </w:t>
      </w:r>
      <w:r w:rsidR="00E4424A">
        <w:rPr>
          <w:rFonts w:ascii="Verdana" w:eastAsia="Times New Roman" w:hAnsi="Verdana" w:cs="Arial"/>
          <w:sz w:val="20"/>
          <w:szCs w:val="20"/>
          <w:lang w:val="es-ES" w:eastAsia="es-ES"/>
        </w:rPr>
        <w:t>d</w:t>
      </w:r>
      <w:r w:rsidR="000426B5">
        <w:rPr>
          <w:rFonts w:ascii="Verdana" w:eastAsia="Times New Roman" w:hAnsi="Verdana" w:cs="Arial"/>
          <w:sz w:val="20"/>
          <w:szCs w:val="20"/>
          <w:lang w:val="es-ES" w:eastAsia="es-ES"/>
        </w:rPr>
        <w:t xml:space="preserve">el </w:t>
      </w:r>
      <w:r w:rsidR="00032948">
        <w:rPr>
          <w:rFonts w:ascii="Verdana" w:eastAsia="Times New Roman" w:hAnsi="Verdana" w:cs="Arial"/>
          <w:sz w:val="20"/>
          <w:szCs w:val="20"/>
          <w:lang w:val="es-ES" w:eastAsia="es-ES"/>
        </w:rPr>
        <w:t>capítulo</w:t>
      </w:r>
      <w:r w:rsidR="000426B5">
        <w:rPr>
          <w:rFonts w:ascii="Verdana" w:eastAsia="Times New Roman" w:hAnsi="Verdana" w:cs="Arial"/>
          <w:sz w:val="20"/>
          <w:szCs w:val="20"/>
          <w:lang w:val="es-ES" w:eastAsia="es-ES"/>
        </w:rPr>
        <w:t xml:space="preserve"> </w:t>
      </w:r>
      <w:r w:rsidR="000D286F">
        <w:rPr>
          <w:rFonts w:ascii="Verdana" w:eastAsia="Times New Roman" w:hAnsi="Verdana" w:cs="Arial"/>
          <w:sz w:val="20"/>
          <w:szCs w:val="20"/>
          <w:lang w:val="es-ES" w:eastAsia="es-ES"/>
        </w:rPr>
        <w:t>5 de la parte</w:t>
      </w:r>
      <w:r w:rsidR="00032948">
        <w:rPr>
          <w:rFonts w:ascii="Verdana" w:eastAsia="Times New Roman" w:hAnsi="Verdana" w:cs="Arial"/>
          <w:sz w:val="20"/>
          <w:szCs w:val="20"/>
          <w:lang w:val="es-ES" w:eastAsia="es-ES"/>
        </w:rPr>
        <w:t xml:space="preserve"> 3 de la </w:t>
      </w:r>
      <w:r w:rsidR="00C96B75">
        <w:rPr>
          <w:rFonts w:ascii="Verdana" w:eastAsia="Times New Roman" w:hAnsi="Verdana" w:cs="Arial"/>
          <w:sz w:val="20"/>
          <w:szCs w:val="20"/>
          <w:lang w:val="es-ES" w:eastAsia="es-ES"/>
        </w:rPr>
        <w:t>presente circular</w:t>
      </w:r>
      <w:r w:rsidRPr="00913AD2">
        <w:rPr>
          <w:rFonts w:ascii="Verdana" w:eastAsia="Times New Roman" w:hAnsi="Verdana" w:cs="Arial"/>
          <w:sz w:val="20"/>
          <w:szCs w:val="20"/>
          <w:lang w:val="es-ES" w:eastAsia="es-ES"/>
        </w:rPr>
        <w:t xml:space="preserve">, no puedan </w:t>
      </w:r>
      <w:r w:rsidR="005A5B50">
        <w:rPr>
          <w:rFonts w:ascii="Verdana" w:eastAsia="Times New Roman" w:hAnsi="Verdana" w:cs="Arial"/>
          <w:sz w:val="20"/>
          <w:szCs w:val="20"/>
          <w:lang w:val="es-ES" w:eastAsia="es-ES"/>
        </w:rPr>
        <w:t>separarse</w:t>
      </w:r>
      <w:r w:rsidR="005A5B50" w:rsidRPr="00913AD2">
        <w:rPr>
          <w:rFonts w:ascii="Verdana" w:eastAsia="Times New Roman" w:hAnsi="Verdana" w:cs="Arial"/>
          <w:sz w:val="20"/>
          <w:szCs w:val="20"/>
          <w:lang w:val="es-ES" w:eastAsia="es-ES"/>
        </w:rPr>
        <w:t xml:space="preserve"> </w:t>
      </w:r>
      <w:r w:rsidRPr="00913AD2">
        <w:rPr>
          <w:rFonts w:ascii="Verdana" w:eastAsia="Times New Roman" w:hAnsi="Verdana" w:cs="Arial"/>
          <w:sz w:val="20"/>
          <w:szCs w:val="20"/>
          <w:lang w:val="es-ES" w:eastAsia="es-ES"/>
        </w:rPr>
        <w:t>y se a</w:t>
      </w:r>
      <w:r w:rsidRPr="002A24BB">
        <w:rPr>
          <w:rFonts w:ascii="Verdana" w:eastAsia="Times New Roman" w:hAnsi="Verdana" w:cs="Arial"/>
          <w:sz w:val="20"/>
          <w:szCs w:val="20"/>
          <w:lang w:val="es-ES" w:eastAsia="es-ES"/>
        </w:rPr>
        <w:t xml:space="preserve">semejen en su comportamiento y estructura a una opción, el riesgo de mercado </w:t>
      </w:r>
      <w:r w:rsidR="002906B8">
        <w:rPr>
          <w:rFonts w:ascii="Verdana" w:eastAsia="Times New Roman" w:hAnsi="Verdana" w:cs="Arial"/>
          <w:sz w:val="20"/>
          <w:szCs w:val="20"/>
          <w:lang w:val="es-ES" w:eastAsia="es-ES"/>
        </w:rPr>
        <w:t xml:space="preserve">se </w:t>
      </w:r>
      <w:r w:rsidRPr="002A24BB">
        <w:rPr>
          <w:rFonts w:ascii="Verdana" w:eastAsia="Times New Roman" w:hAnsi="Verdana" w:cs="Arial"/>
          <w:sz w:val="20"/>
          <w:szCs w:val="20"/>
          <w:lang w:val="es-ES" w:eastAsia="es-ES"/>
        </w:rPr>
        <w:t xml:space="preserve">deberá calcular de acuerdo con las reglas contenidas </w:t>
      </w:r>
      <w:r w:rsidR="00BB20B2" w:rsidRPr="002A24BB">
        <w:rPr>
          <w:rFonts w:ascii="Verdana" w:eastAsia="Times New Roman" w:hAnsi="Verdana" w:cs="Arial"/>
          <w:sz w:val="20"/>
          <w:szCs w:val="20"/>
          <w:lang w:val="es-ES" w:eastAsia="es-ES"/>
        </w:rPr>
        <w:t>entre los párrafos 1.1.A7.</w:t>
      </w:r>
      <w:r w:rsidR="00BF3827" w:rsidRPr="002A24BB">
        <w:rPr>
          <w:rFonts w:ascii="Verdana" w:eastAsia="Times New Roman" w:hAnsi="Verdana" w:cs="Arial"/>
          <w:sz w:val="20"/>
          <w:szCs w:val="20"/>
          <w:lang w:val="es-ES" w:eastAsia="es-ES"/>
        </w:rPr>
        <w:t>8</w:t>
      </w:r>
      <w:r w:rsidR="00BF3827">
        <w:rPr>
          <w:rFonts w:ascii="Verdana" w:eastAsia="Times New Roman" w:hAnsi="Verdana" w:cs="Arial"/>
          <w:sz w:val="20"/>
          <w:szCs w:val="20"/>
          <w:lang w:val="es-ES" w:eastAsia="es-ES"/>
        </w:rPr>
        <w:t>6</w:t>
      </w:r>
      <w:r w:rsidR="00BB20B2" w:rsidRPr="002A24BB">
        <w:rPr>
          <w:rFonts w:ascii="Verdana" w:eastAsia="Times New Roman" w:hAnsi="Verdana" w:cs="Arial"/>
          <w:sz w:val="20"/>
          <w:szCs w:val="20"/>
          <w:lang w:val="es-ES" w:eastAsia="es-ES"/>
        </w:rPr>
        <w:t>. y 1.1.A7.</w:t>
      </w:r>
      <w:r w:rsidR="00BF3827" w:rsidRPr="002A24BB">
        <w:rPr>
          <w:rFonts w:ascii="Verdana" w:eastAsia="Times New Roman" w:hAnsi="Verdana" w:cs="Arial"/>
          <w:sz w:val="20"/>
          <w:szCs w:val="20"/>
          <w:lang w:val="es-ES" w:eastAsia="es-ES"/>
        </w:rPr>
        <w:t>9</w:t>
      </w:r>
      <w:r w:rsidR="00BF3827">
        <w:rPr>
          <w:rFonts w:ascii="Verdana" w:eastAsia="Times New Roman" w:hAnsi="Verdana" w:cs="Arial"/>
          <w:sz w:val="20"/>
          <w:szCs w:val="20"/>
          <w:lang w:val="es-ES" w:eastAsia="es-ES"/>
        </w:rPr>
        <w:t>1</w:t>
      </w:r>
      <w:r w:rsidR="00BB20B2" w:rsidRPr="002A24BB">
        <w:rPr>
          <w:rFonts w:ascii="Verdana" w:eastAsia="Times New Roman" w:hAnsi="Verdana" w:cs="Arial"/>
          <w:sz w:val="20"/>
          <w:szCs w:val="20"/>
          <w:lang w:val="es-ES" w:eastAsia="es-ES"/>
        </w:rPr>
        <w:t>.</w:t>
      </w:r>
    </w:p>
    <w:p w14:paraId="01E66C8C" w14:textId="77777777" w:rsidR="00DC17E7" w:rsidRPr="00653E80" w:rsidRDefault="00DC17E7" w:rsidP="002F3F94">
      <w:pPr>
        <w:spacing w:after="0" w:line="240" w:lineRule="auto"/>
        <w:jc w:val="both"/>
        <w:rPr>
          <w:rFonts w:ascii="Verdana" w:eastAsia="Times New Roman" w:hAnsi="Verdana" w:cs="Arial"/>
          <w:sz w:val="20"/>
          <w:szCs w:val="20"/>
          <w:lang w:val="es-ES" w:eastAsia="es-ES"/>
        </w:rPr>
      </w:pPr>
    </w:p>
    <w:p w14:paraId="7FDEF5CC" w14:textId="77777777" w:rsidR="00DC17E7" w:rsidRPr="00913AD2" w:rsidRDefault="00DC17E7" w:rsidP="00913AD2">
      <w:pPr>
        <w:pStyle w:val="Prrafodelista"/>
        <w:numPr>
          <w:ilvl w:val="0"/>
          <w:numId w:val="40"/>
        </w:numPr>
        <w:spacing w:after="0" w:line="240" w:lineRule="auto"/>
        <w:ind w:left="567" w:hanging="283"/>
        <w:jc w:val="both"/>
        <w:rPr>
          <w:rFonts w:ascii="Verdana" w:eastAsia="Times New Roman" w:hAnsi="Verdana" w:cs="Arial"/>
          <w:b/>
          <w:bCs/>
          <w:sz w:val="20"/>
          <w:szCs w:val="20"/>
          <w:lang w:val="es-ES" w:eastAsia="es-ES"/>
        </w:rPr>
      </w:pPr>
      <w:r w:rsidRPr="00913AD2">
        <w:rPr>
          <w:rFonts w:ascii="Verdana" w:eastAsia="Times New Roman" w:hAnsi="Verdana" w:cs="Arial"/>
          <w:b/>
          <w:bCs/>
          <w:sz w:val="20"/>
          <w:szCs w:val="20"/>
          <w:lang w:val="es-ES" w:eastAsia="es-ES"/>
        </w:rPr>
        <w:t>Inversiones clasificadas hasta el vencimiento entregadas como garantías</w:t>
      </w:r>
    </w:p>
    <w:p w14:paraId="27888322"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ES" w:eastAsia="es-ES"/>
        </w:rPr>
      </w:pPr>
    </w:p>
    <w:p w14:paraId="19DC5AFC" w14:textId="5CB8A9DF"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32</w:t>
      </w:r>
      <w:r w:rsidRPr="000E0B7B">
        <w:rPr>
          <w:rFonts w:ascii="Verdana" w:hAnsi="Verdana"/>
          <w:sz w:val="20"/>
          <w:szCs w:val="20"/>
        </w:rPr>
        <w:t>.</w:t>
      </w:r>
    </w:p>
    <w:p w14:paraId="3B1B68AC" w14:textId="3CCEB636"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Las inversiones que sean entregadas como garantías en una cámara de riesgo central de contraparte con el fin de respaldar el cumplimiento de las operaciones aceptadas para su compensación y liquidación deberán ser tenidas en cuenta para el cálculo de la exposición al riesgo de tasa de interés, por su valor de mercado, independientemente de su clasificación contable.</w:t>
      </w:r>
    </w:p>
    <w:p w14:paraId="258B669A" w14:textId="77777777" w:rsidR="00DC17E7" w:rsidRPr="00653E80" w:rsidRDefault="00DC17E7" w:rsidP="00DC17E7">
      <w:pPr>
        <w:spacing w:after="0" w:line="240" w:lineRule="auto"/>
        <w:ind w:left="1134" w:hanging="567"/>
        <w:jc w:val="both"/>
        <w:rPr>
          <w:rFonts w:ascii="Verdana" w:eastAsia="Times New Roman" w:hAnsi="Verdana" w:cs="Arial"/>
          <w:sz w:val="20"/>
          <w:szCs w:val="20"/>
          <w:lang w:val="es-ES" w:eastAsia="es-ES"/>
        </w:rPr>
      </w:pPr>
    </w:p>
    <w:p w14:paraId="634ABBC4" w14:textId="0A356328" w:rsidR="00913AD2" w:rsidRPr="000E0B7B" w:rsidRDefault="00913AD2" w:rsidP="00913A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33</w:t>
      </w:r>
      <w:r w:rsidRPr="000E0B7B">
        <w:rPr>
          <w:rFonts w:ascii="Verdana" w:hAnsi="Verdana"/>
          <w:sz w:val="20"/>
          <w:szCs w:val="20"/>
        </w:rPr>
        <w:t>.</w:t>
      </w:r>
    </w:p>
    <w:p w14:paraId="6FEBECCC" w14:textId="1F3E3C4C" w:rsidR="00DC17E7" w:rsidRPr="00913AD2" w:rsidRDefault="00DC17E7" w:rsidP="00913AD2">
      <w:pPr>
        <w:spacing w:after="0" w:line="240" w:lineRule="auto"/>
        <w:jc w:val="both"/>
        <w:rPr>
          <w:rFonts w:ascii="Verdana" w:eastAsia="Times New Roman" w:hAnsi="Verdana" w:cs="Arial"/>
          <w:sz w:val="20"/>
          <w:szCs w:val="20"/>
          <w:lang w:val="es-ES" w:eastAsia="es-ES"/>
        </w:rPr>
      </w:pPr>
      <w:r w:rsidRPr="00913AD2">
        <w:rPr>
          <w:rFonts w:ascii="Verdana" w:eastAsia="Times New Roman" w:hAnsi="Verdana" w:cs="Arial"/>
          <w:sz w:val="20"/>
          <w:szCs w:val="20"/>
          <w:lang w:val="es-ES" w:eastAsia="es-ES"/>
        </w:rPr>
        <w:t>Así mismo, en el evento en que estas inversiones estén expresadas en moneda diferente a moneda legal, deberán tenerse en cuenta adicionalmente en el cálculo de la exposición al riesgo de tasa de cambio.</w:t>
      </w:r>
    </w:p>
    <w:p w14:paraId="48E8398E"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0FF4E8B6" w14:textId="77777777" w:rsidR="00DC17E7" w:rsidRPr="00913AD2" w:rsidRDefault="00DC17E7" w:rsidP="00686EE0">
      <w:pPr>
        <w:pStyle w:val="Prrafodelista"/>
        <w:numPr>
          <w:ilvl w:val="0"/>
          <w:numId w:val="39"/>
        </w:numPr>
        <w:spacing w:after="0" w:line="240" w:lineRule="auto"/>
        <w:ind w:left="284" w:hanging="284"/>
        <w:jc w:val="both"/>
        <w:rPr>
          <w:rFonts w:ascii="Verdana" w:eastAsia="Times New Roman" w:hAnsi="Verdana" w:cs="Arial"/>
          <w:b/>
          <w:sz w:val="20"/>
          <w:szCs w:val="20"/>
          <w:lang w:val="es-ES" w:eastAsia="es-ES"/>
        </w:rPr>
      </w:pPr>
      <w:r w:rsidRPr="00913AD2">
        <w:rPr>
          <w:rFonts w:ascii="Verdana" w:hAnsi="Verdana" w:cs="Arial"/>
          <w:b/>
          <w:sz w:val="20"/>
          <w:szCs w:val="20"/>
        </w:rPr>
        <w:t>Operaciones de reporto o repo, operaciones simultáneas y operaciones de transferencia temporal de valores</w:t>
      </w:r>
    </w:p>
    <w:p w14:paraId="419045B7"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56CF4EC7" w14:textId="77017CF1"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34</w:t>
      </w:r>
      <w:r w:rsidRPr="000E0B7B">
        <w:rPr>
          <w:rFonts w:ascii="Verdana" w:hAnsi="Verdana"/>
          <w:sz w:val="20"/>
          <w:szCs w:val="20"/>
        </w:rPr>
        <w:t>.</w:t>
      </w:r>
    </w:p>
    <w:p w14:paraId="6A0E0534" w14:textId="4AB494F9" w:rsidR="00DC17E7"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Las operaciones </w:t>
      </w:r>
      <w:r w:rsidR="00BD2D16" w:rsidRPr="00BD2D16">
        <w:rPr>
          <w:rFonts w:ascii="Verdana" w:eastAsia="Times New Roman" w:hAnsi="Verdana" w:cs="Arial"/>
          <w:sz w:val="20"/>
          <w:szCs w:val="20"/>
          <w:lang w:val="es-ES" w:eastAsia="es-ES"/>
        </w:rPr>
        <w:t xml:space="preserve">de reporto o repo, operaciones simultáneas y operaciones de transferencia temporal de valores </w:t>
      </w:r>
      <w:r w:rsidRPr="00BD2D16">
        <w:rPr>
          <w:rFonts w:ascii="Verdana" w:eastAsia="Times New Roman" w:hAnsi="Verdana" w:cs="Arial"/>
          <w:sz w:val="20"/>
          <w:szCs w:val="20"/>
          <w:lang w:val="es-ES" w:eastAsia="es-ES"/>
        </w:rPr>
        <w:t>generan un intercambio de valores y de dinero entre las partes, con el compromiso de reversarlo al final</w:t>
      </w:r>
      <w:r w:rsidRPr="00653E80">
        <w:rPr>
          <w:rFonts w:ascii="Verdana" w:eastAsia="Times New Roman" w:hAnsi="Verdana" w:cs="Arial"/>
          <w:sz w:val="20"/>
          <w:szCs w:val="20"/>
          <w:lang w:val="es-ES" w:eastAsia="es-ES"/>
        </w:rPr>
        <w:t xml:space="preserve"> de la operación</w:t>
      </w:r>
      <w:r w:rsidR="001B25DD">
        <w:rPr>
          <w:rFonts w:ascii="Verdana" w:eastAsia="Times New Roman" w:hAnsi="Verdana" w:cs="Arial"/>
          <w:sz w:val="20"/>
          <w:szCs w:val="20"/>
          <w:lang w:val="es-ES" w:eastAsia="es-ES"/>
        </w:rPr>
        <w:t>.</w:t>
      </w:r>
    </w:p>
    <w:p w14:paraId="36EA7EB9" w14:textId="77777777" w:rsidR="00DC17E7" w:rsidRDefault="00DC17E7" w:rsidP="00DC17E7">
      <w:pPr>
        <w:spacing w:after="0" w:line="240" w:lineRule="auto"/>
        <w:jc w:val="both"/>
        <w:rPr>
          <w:rFonts w:ascii="Verdana" w:eastAsia="Times New Roman" w:hAnsi="Verdana" w:cs="Arial"/>
          <w:sz w:val="20"/>
          <w:szCs w:val="20"/>
          <w:lang w:val="es-ES" w:eastAsia="es-ES"/>
        </w:rPr>
      </w:pPr>
    </w:p>
    <w:p w14:paraId="5D0C4916" w14:textId="6D13DF04"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35</w:t>
      </w:r>
      <w:r w:rsidRPr="000E0B7B">
        <w:rPr>
          <w:rFonts w:ascii="Verdana" w:hAnsi="Verdana"/>
          <w:sz w:val="20"/>
          <w:szCs w:val="20"/>
        </w:rPr>
        <w:t>.</w:t>
      </w:r>
    </w:p>
    <w:p w14:paraId="3B5CAE94" w14:textId="77777777" w:rsidR="00DC17E7"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En las operaciones de reporto o repo (repo) y simultáneas, el “Enajenante” le entrega valores al “Adquirente”, y al hacerlo le transfiere la propiedad de éstos. A cambio, el “Adquirente” le entrega dinero al “Enajenante”. De manera análoga, en las operaciones de transferencia temporal de valores el “Originador” le entrega valores al “Receptor” y, al hacerlo, le transfiere la propiedad de éstos. A cambio, el “Receptor” le entrega dinero o valores al “Originador”, en cuyo caso también se transfiere la propiedad.</w:t>
      </w:r>
    </w:p>
    <w:p w14:paraId="27036AB7" w14:textId="77777777" w:rsidR="003C54E7" w:rsidRPr="00653E80" w:rsidRDefault="003C54E7" w:rsidP="00DC17E7">
      <w:pPr>
        <w:spacing w:after="0" w:line="240" w:lineRule="auto"/>
        <w:jc w:val="both"/>
        <w:rPr>
          <w:rFonts w:ascii="Verdana" w:eastAsia="Times New Roman" w:hAnsi="Verdana" w:cs="Arial"/>
          <w:sz w:val="20"/>
          <w:szCs w:val="20"/>
          <w:lang w:val="es-ES" w:eastAsia="es-ES"/>
        </w:rPr>
      </w:pPr>
    </w:p>
    <w:p w14:paraId="03619DA6" w14:textId="797302AB"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36</w:t>
      </w:r>
      <w:r w:rsidRPr="000E0B7B">
        <w:rPr>
          <w:rFonts w:ascii="Verdana" w:hAnsi="Verdana"/>
          <w:sz w:val="20"/>
          <w:szCs w:val="20"/>
        </w:rPr>
        <w:t>.</w:t>
      </w:r>
    </w:p>
    <w:p w14:paraId="52E9A3F9" w14:textId="03818EDF" w:rsidR="00DC17E7"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Dado que en las 3 operaciones mencionadas la vocación del valor es regresar a manos del “Enajenante”, del “Originador” o del “Receptor”, según sea el caso, la realidad financiera de la operación exige que el riesgo </w:t>
      </w:r>
      <w:r w:rsidR="00C65A5F">
        <w:rPr>
          <w:rFonts w:ascii="Verdana" w:eastAsia="Times New Roman" w:hAnsi="Verdana" w:cs="Arial"/>
          <w:sz w:val="20"/>
          <w:szCs w:val="20"/>
          <w:lang w:val="es-ES" w:eastAsia="es-ES"/>
        </w:rPr>
        <w:t xml:space="preserve">se mantenga </w:t>
      </w:r>
      <w:r w:rsidRPr="00653E80">
        <w:rPr>
          <w:rFonts w:ascii="Verdana" w:eastAsia="Times New Roman" w:hAnsi="Verdana" w:cs="Arial"/>
          <w:sz w:val="20"/>
          <w:szCs w:val="20"/>
          <w:lang w:val="es-ES" w:eastAsia="es-ES"/>
        </w:rPr>
        <w:t>en el balance de las entidades que entregaron los valores.</w:t>
      </w:r>
    </w:p>
    <w:p w14:paraId="19A61F3D" w14:textId="77777777" w:rsidR="00913AD2" w:rsidRPr="00653E80" w:rsidRDefault="00913AD2" w:rsidP="00DC17E7">
      <w:pPr>
        <w:spacing w:after="0" w:line="240" w:lineRule="auto"/>
        <w:jc w:val="both"/>
        <w:rPr>
          <w:rFonts w:ascii="Verdana" w:eastAsia="Times New Roman" w:hAnsi="Verdana" w:cs="Arial"/>
          <w:sz w:val="20"/>
          <w:szCs w:val="20"/>
          <w:lang w:val="es-ES" w:eastAsia="es-ES"/>
        </w:rPr>
      </w:pPr>
    </w:p>
    <w:p w14:paraId="684469E9" w14:textId="5CACE00B"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37</w:t>
      </w:r>
      <w:r w:rsidRPr="000E0B7B">
        <w:rPr>
          <w:rFonts w:ascii="Verdana" w:hAnsi="Verdana"/>
          <w:sz w:val="20"/>
          <w:szCs w:val="20"/>
        </w:rPr>
        <w:t>.</w:t>
      </w:r>
    </w:p>
    <w:p w14:paraId="23A00369" w14:textId="75BF303B" w:rsidR="00DC17E7" w:rsidRPr="00653E80"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Teniendo en cuenta lo anterior, para efectos del cálculo de la exposición a los riesgos de mercado las posiciones en las operaciones </w:t>
      </w:r>
      <w:r w:rsidR="001B25DD">
        <w:rPr>
          <w:rFonts w:ascii="Verdana" w:eastAsia="Times New Roman" w:hAnsi="Verdana" w:cs="Arial"/>
          <w:sz w:val="20"/>
          <w:szCs w:val="20"/>
          <w:lang w:val="es-ES" w:eastAsia="es-ES"/>
        </w:rPr>
        <w:t xml:space="preserve">aquí señaladas </w:t>
      </w:r>
      <w:r w:rsidRPr="00653E80">
        <w:rPr>
          <w:rFonts w:ascii="Verdana" w:eastAsia="Times New Roman" w:hAnsi="Verdana" w:cs="Arial"/>
          <w:sz w:val="20"/>
          <w:szCs w:val="20"/>
          <w:lang w:val="es-ES" w:eastAsia="es-ES"/>
        </w:rPr>
        <w:t xml:space="preserve">deben ser tenidas en cuenta </w:t>
      </w:r>
      <w:proofErr w:type="gramStart"/>
      <w:r w:rsidRPr="00653E80">
        <w:rPr>
          <w:rFonts w:ascii="Verdana" w:eastAsia="Times New Roman" w:hAnsi="Verdana" w:cs="Arial"/>
          <w:sz w:val="20"/>
          <w:szCs w:val="20"/>
          <w:lang w:val="es-ES" w:eastAsia="es-ES"/>
        </w:rPr>
        <w:t>de acuerdo a</w:t>
      </w:r>
      <w:proofErr w:type="gramEnd"/>
      <w:r w:rsidRPr="00653E80">
        <w:rPr>
          <w:rFonts w:ascii="Verdana" w:eastAsia="Times New Roman" w:hAnsi="Verdana" w:cs="Arial"/>
          <w:sz w:val="20"/>
          <w:szCs w:val="20"/>
          <w:lang w:val="es-ES" w:eastAsia="es-ES"/>
        </w:rPr>
        <w:t xml:space="preserve"> las siguientes instrucciones:</w:t>
      </w:r>
    </w:p>
    <w:p w14:paraId="4CAF9EF9"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08728968" w14:textId="77777777" w:rsidR="00DC17E7" w:rsidRPr="00653E80" w:rsidRDefault="00DC17E7" w:rsidP="00DC17E7">
      <w:pPr>
        <w:pStyle w:val="Prrafodelista"/>
        <w:numPr>
          <w:ilvl w:val="0"/>
          <w:numId w:val="5"/>
        </w:numPr>
        <w:spacing w:after="0" w:line="240" w:lineRule="auto"/>
        <w:ind w:left="567" w:hanging="567"/>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Los valores entregados en desarrollo de las 3 operaciones mencionadas deben ser tenidos en cuenta, por su valor de mercado, independientemente de su clasificación contable, para efectos del cálculo de los riesgos de mercado del agente que los entregó al principio de la operación. Se exceptúan los valores obtenidos previamente a través de cualquiera de las operaciones mencionadas.</w:t>
      </w:r>
    </w:p>
    <w:p w14:paraId="2D0E112E" w14:textId="77777777" w:rsidR="00DC17E7" w:rsidRPr="00653E80" w:rsidRDefault="00DC17E7" w:rsidP="00DC17E7">
      <w:pPr>
        <w:pStyle w:val="Prrafodelista"/>
        <w:spacing w:after="0" w:line="240" w:lineRule="auto"/>
        <w:ind w:left="567" w:hanging="567"/>
        <w:jc w:val="both"/>
        <w:rPr>
          <w:rFonts w:ascii="Verdana" w:eastAsia="Times New Roman" w:hAnsi="Verdana" w:cs="Arial"/>
          <w:sz w:val="20"/>
          <w:szCs w:val="20"/>
          <w:lang w:val="es-ES" w:eastAsia="es-ES"/>
        </w:rPr>
      </w:pPr>
    </w:p>
    <w:p w14:paraId="0FB5E69C" w14:textId="251F61DA" w:rsidR="00DC17E7" w:rsidRPr="00653E80" w:rsidRDefault="00DC17E7" w:rsidP="00DC17E7">
      <w:pPr>
        <w:pStyle w:val="Prrafodelista"/>
        <w:numPr>
          <w:ilvl w:val="0"/>
          <w:numId w:val="5"/>
        </w:numPr>
        <w:spacing w:after="0" w:line="240" w:lineRule="auto"/>
        <w:ind w:left="567" w:hanging="567"/>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En los casos en los que una entidad actuando como adquirente en una operación repo o en una operación simultánea venda de manera definitiva a través de operaciones de contado los valores objeto de la operación, o los entregue como enajenante en una nueva operación repo, simultánea o transferencia temporal de valores, la posición corta o posición pasiva resultante deberá ser tenida en cuenta para efectos de los cálculos de la exposición a riesgos de mercado de que trata el presente </w:t>
      </w:r>
      <w:r w:rsidR="00D648C3">
        <w:rPr>
          <w:rFonts w:ascii="Verdana" w:eastAsia="Times New Roman" w:hAnsi="Verdana" w:cs="Arial"/>
          <w:sz w:val="20"/>
          <w:szCs w:val="20"/>
          <w:lang w:val="es-ES" w:eastAsia="es-ES"/>
        </w:rPr>
        <w:t>c</w:t>
      </w:r>
      <w:r w:rsidRPr="00653E80">
        <w:rPr>
          <w:rFonts w:ascii="Verdana" w:eastAsia="Times New Roman" w:hAnsi="Verdana" w:cs="Arial"/>
          <w:sz w:val="20"/>
          <w:szCs w:val="20"/>
          <w:lang w:val="es-ES" w:eastAsia="es-ES"/>
        </w:rPr>
        <w:t>apítulo.</w:t>
      </w:r>
    </w:p>
    <w:p w14:paraId="505C9A6E" w14:textId="77777777" w:rsidR="00DC17E7" w:rsidRPr="00653E80" w:rsidRDefault="00DC17E7" w:rsidP="00DC17E7">
      <w:pPr>
        <w:pStyle w:val="Prrafodelista"/>
        <w:spacing w:after="0" w:line="240" w:lineRule="auto"/>
        <w:ind w:left="567" w:hanging="567"/>
        <w:rPr>
          <w:rFonts w:ascii="Verdana" w:eastAsia="Times New Roman" w:hAnsi="Verdana" w:cs="Arial"/>
          <w:sz w:val="20"/>
          <w:szCs w:val="20"/>
          <w:lang w:val="es-ES" w:eastAsia="es-ES"/>
        </w:rPr>
      </w:pPr>
    </w:p>
    <w:p w14:paraId="0B9D4ACD" w14:textId="77777777" w:rsidR="00DC17E7" w:rsidRPr="00653E80" w:rsidRDefault="00DC17E7" w:rsidP="00DC17E7">
      <w:pPr>
        <w:pStyle w:val="Prrafodelista"/>
        <w:numPr>
          <w:ilvl w:val="0"/>
          <w:numId w:val="5"/>
        </w:numPr>
        <w:spacing w:after="0" w:line="240" w:lineRule="auto"/>
        <w:ind w:left="567" w:hanging="567"/>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Igual tratamiento recibirán las posiciones cortas o posiciones pasivas resultantes en los casos en los cuales cualquiera de las partes involucradas en una transferencia temporal de valores venda de manera definitiva a través de operaciones de contado los valores que recibió en desarrollo de la mencionada operación, o los entregue como enajenante en una nueva operación repo, simultánea o transferencia temporal de valores.</w:t>
      </w:r>
    </w:p>
    <w:p w14:paraId="2C4B4FF9" w14:textId="77777777" w:rsidR="00DC17E7" w:rsidRPr="00653E80" w:rsidRDefault="00DC17E7" w:rsidP="00DC17E7">
      <w:pPr>
        <w:pStyle w:val="Prrafodelista"/>
        <w:spacing w:after="0" w:line="240" w:lineRule="auto"/>
        <w:ind w:left="567" w:hanging="567"/>
        <w:rPr>
          <w:rFonts w:ascii="Verdana" w:eastAsia="Times New Roman" w:hAnsi="Verdana" w:cs="Arial"/>
          <w:sz w:val="20"/>
          <w:szCs w:val="20"/>
          <w:lang w:val="es-ES" w:eastAsia="es-ES"/>
        </w:rPr>
      </w:pPr>
    </w:p>
    <w:p w14:paraId="6047D175" w14:textId="000574A8" w:rsidR="00DC17E7" w:rsidRPr="00653E80" w:rsidRDefault="00DC17E7" w:rsidP="00DC17E7">
      <w:pPr>
        <w:pStyle w:val="Prrafodelista"/>
        <w:numPr>
          <w:ilvl w:val="0"/>
          <w:numId w:val="5"/>
        </w:numPr>
        <w:spacing w:after="0" w:line="240" w:lineRule="auto"/>
        <w:ind w:left="567" w:hanging="567"/>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lastRenderedPageBreak/>
        <w:t>En todo caso, las entidades vigiladas deben seguir las instrucciones señaladas en</w:t>
      </w:r>
      <w:r w:rsidR="00DA7E3D">
        <w:rPr>
          <w:rFonts w:ascii="Verdana" w:eastAsia="Times New Roman" w:hAnsi="Verdana" w:cs="Arial"/>
          <w:sz w:val="20"/>
          <w:szCs w:val="20"/>
          <w:lang w:val="es-ES" w:eastAsia="es-ES"/>
        </w:rPr>
        <w:t xml:space="preserve"> la sección 1 d</w:t>
      </w:r>
      <w:r w:rsidR="003930ED">
        <w:rPr>
          <w:rFonts w:ascii="Verdana" w:eastAsia="Times New Roman" w:hAnsi="Verdana" w:cs="Arial"/>
          <w:sz w:val="20"/>
          <w:szCs w:val="20"/>
          <w:lang w:val="es-ES" w:eastAsia="es-ES"/>
        </w:rPr>
        <w:t>el capítulo</w:t>
      </w:r>
      <w:r w:rsidR="00DA7E3D">
        <w:rPr>
          <w:rFonts w:ascii="Verdana" w:eastAsia="Times New Roman" w:hAnsi="Verdana" w:cs="Arial"/>
          <w:sz w:val="20"/>
          <w:szCs w:val="20"/>
          <w:lang w:val="es-ES" w:eastAsia="es-ES"/>
        </w:rPr>
        <w:t xml:space="preserve"> 7 de la parte 3 de la </w:t>
      </w:r>
      <w:r w:rsidR="00747C09">
        <w:rPr>
          <w:rFonts w:ascii="Verdana" w:eastAsia="Times New Roman" w:hAnsi="Verdana" w:cs="Arial"/>
          <w:sz w:val="20"/>
          <w:szCs w:val="20"/>
          <w:lang w:val="es-ES" w:eastAsia="es-ES"/>
        </w:rPr>
        <w:t>CBF</w:t>
      </w:r>
      <w:r w:rsidR="00DA7E3D" w:rsidRPr="00DA7E3D">
        <w:rPr>
          <w:rFonts w:ascii="Verdana" w:eastAsia="Times New Roman" w:hAnsi="Verdana" w:cs="Arial"/>
          <w:sz w:val="20"/>
          <w:szCs w:val="20"/>
          <w:lang w:val="es-ES" w:eastAsia="es-ES"/>
        </w:rPr>
        <w:t xml:space="preserve"> c</w:t>
      </w:r>
      <w:r w:rsidRPr="00DA7E3D">
        <w:rPr>
          <w:rFonts w:ascii="Verdana" w:eastAsia="Times New Roman" w:hAnsi="Verdana" w:cs="Arial"/>
          <w:sz w:val="20"/>
          <w:szCs w:val="20"/>
          <w:lang w:val="es-ES" w:eastAsia="es-ES"/>
        </w:rPr>
        <w:t>on el fin de medir la exposición de riesgo de mercado de las operaciones</w:t>
      </w:r>
      <w:r w:rsidRPr="00653E80">
        <w:rPr>
          <w:rFonts w:ascii="Verdana" w:eastAsia="Times New Roman" w:hAnsi="Verdana" w:cs="Arial"/>
          <w:sz w:val="20"/>
          <w:szCs w:val="20"/>
          <w:lang w:val="es-ES" w:eastAsia="es-ES"/>
        </w:rPr>
        <w:t xml:space="preserve"> de contado.</w:t>
      </w:r>
    </w:p>
    <w:p w14:paraId="49026E0C" w14:textId="77777777" w:rsidR="00DC17E7" w:rsidRDefault="00DC17E7" w:rsidP="00DC17E7">
      <w:pPr>
        <w:spacing w:after="0" w:line="240" w:lineRule="auto"/>
        <w:contextualSpacing/>
        <w:jc w:val="both"/>
        <w:rPr>
          <w:rFonts w:ascii="Verdana" w:eastAsia="Times New Roman" w:hAnsi="Verdana" w:cs="Arial"/>
          <w:sz w:val="20"/>
          <w:szCs w:val="20"/>
          <w:lang w:val="es-ES" w:eastAsia="es-ES"/>
        </w:rPr>
      </w:pPr>
    </w:p>
    <w:p w14:paraId="7D44A171" w14:textId="77777777"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r w:rsidRPr="00653E80">
        <w:rPr>
          <w:rFonts w:ascii="Verdana" w:eastAsia="Times New Roman" w:hAnsi="Verdana" w:cs="Arial"/>
          <w:b/>
          <w:sz w:val="20"/>
          <w:szCs w:val="20"/>
          <w:lang w:val="es-ES" w:eastAsia="es-ES"/>
        </w:rPr>
        <w:t>Evaluación del riesgo de tasa de interés</w:t>
      </w:r>
    </w:p>
    <w:p w14:paraId="0852CC44" w14:textId="77777777" w:rsidR="00DC17E7" w:rsidRDefault="00DC17E7" w:rsidP="00DC17E7">
      <w:pPr>
        <w:spacing w:after="0" w:line="240" w:lineRule="auto"/>
        <w:jc w:val="both"/>
        <w:rPr>
          <w:rFonts w:ascii="Verdana" w:hAnsi="Verdana" w:cs="Arial"/>
          <w:sz w:val="20"/>
          <w:szCs w:val="20"/>
          <w:lang w:val="es-ES"/>
        </w:rPr>
      </w:pPr>
    </w:p>
    <w:p w14:paraId="6B730ECA" w14:textId="4A130269"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38</w:t>
      </w:r>
      <w:r w:rsidRPr="000E0B7B">
        <w:rPr>
          <w:rFonts w:ascii="Verdana" w:hAnsi="Verdana"/>
          <w:sz w:val="20"/>
          <w:szCs w:val="20"/>
        </w:rPr>
        <w:t>.</w:t>
      </w:r>
    </w:p>
    <w:p w14:paraId="380B3D2A" w14:textId="04BDE268" w:rsidR="00DC17E7" w:rsidRPr="00653E80"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La medición del riesgo de </w:t>
      </w:r>
      <w:r w:rsidR="007626F4">
        <w:rPr>
          <w:rFonts w:ascii="Verdana" w:eastAsia="Times New Roman" w:hAnsi="Verdana" w:cs="Arial"/>
          <w:sz w:val="20"/>
          <w:szCs w:val="20"/>
          <w:lang w:val="es-ES" w:eastAsia="es-ES"/>
        </w:rPr>
        <w:t xml:space="preserve">tasa de </w:t>
      </w:r>
      <w:r w:rsidRPr="00653E80">
        <w:rPr>
          <w:rFonts w:ascii="Verdana" w:eastAsia="Times New Roman" w:hAnsi="Verdana" w:cs="Arial"/>
          <w:sz w:val="20"/>
          <w:szCs w:val="20"/>
          <w:lang w:val="es-ES" w:eastAsia="es-ES"/>
        </w:rPr>
        <w:t xml:space="preserve">interés por mantener posiciones en títulos o valores de renta fija se calculará de acuerdo con </w:t>
      </w:r>
      <w:r w:rsidR="007626F4">
        <w:rPr>
          <w:rFonts w:ascii="Verdana" w:eastAsia="Times New Roman" w:hAnsi="Verdana" w:cs="Arial"/>
          <w:sz w:val="20"/>
          <w:szCs w:val="20"/>
          <w:lang w:val="es-ES" w:eastAsia="es-ES"/>
        </w:rPr>
        <w:t>las siguientes instrucciones:</w:t>
      </w:r>
    </w:p>
    <w:p w14:paraId="22364FBF" w14:textId="77777777" w:rsidR="00DC17E7" w:rsidRDefault="00DC17E7" w:rsidP="00DC17E7">
      <w:pPr>
        <w:pStyle w:val="Prrafodelista"/>
        <w:spacing w:after="0" w:line="240" w:lineRule="auto"/>
        <w:ind w:left="0"/>
        <w:jc w:val="both"/>
        <w:rPr>
          <w:rFonts w:ascii="Verdana" w:eastAsia="Times New Roman" w:hAnsi="Verdana" w:cs="Arial"/>
          <w:bCs/>
          <w:sz w:val="20"/>
          <w:szCs w:val="20"/>
          <w:lang w:val="es-ES" w:eastAsia="es-ES"/>
        </w:rPr>
      </w:pPr>
    </w:p>
    <w:p w14:paraId="189E23E9" w14:textId="46B60A8B" w:rsidR="00DC17E7" w:rsidRPr="007F7C6E" w:rsidRDefault="00DC17E7" w:rsidP="00913AD2">
      <w:pPr>
        <w:pStyle w:val="Prrafodelista"/>
        <w:numPr>
          <w:ilvl w:val="0"/>
          <w:numId w:val="39"/>
        </w:numPr>
        <w:spacing w:after="0" w:line="240" w:lineRule="auto"/>
        <w:ind w:left="284" w:hanging="284"/>
        <w:jc w:val="both"/>
        <w:rPr>
          <w:rFonts w:ascii="Verdana" w:eastAsia="Times New Roman" w:hAnsi="Verdana" w:cs="Arial"/>
          <w:b/>
          <w:sz w:val="20"/>
          <w:szCs w:val="20"/>
          <w:lang w:val="es-ES" w:eastAsia="es-ES"/>
        </w:rPr>
      </w:pPr>
      <w:r w:rsidRPr="007F7C6E">
        <w:rPr>
          <w:rFonts w:ascii="Verdana" w:eastAsia="Times New Roman" w:hAnsi="Verdana" w:cs="Arial"/>
          <w:b/>
          <w:sz w:val="20"/>
          <w:szCs w:val="20"/>
          <w:lang w:val="es-ES" w:eastAsia="es-ES"/>
        </w:rPr>
        <w:t xml:space="preserve">Factores de </w:t>
      </w:r>
      <w:r w:rsidR="00913AD2">
        <w:rPr>
          <w:rFonts w:ascii="Verdana" w:eastAsia="Times New Roman" w:hAnsi="Verdana" w:cs="Arial"/>
          <w:b/>
          <w:sz w:val="20"/>
          <w:szCs w:val="20"/>
          <w:lang w:val="es-ES" w:eastAsia="es-ES"/>
        </w:rPr>
        <w:t>r</w:t>
      </w:r>
      <w:r w:rsidRPr="007F7C6E">
        <w:rPr>
          <w:rFonts w:ascii="Verdana" w:eastAsia="Times New Roman" w:hAnsi="Verdana" w:cs="Arial"/>
          <w:b/>
          <w:sz w:val="20"/>
          <w:szCs w:val="20"/>
          <w:lang w:val="es-ES" w:eastAsia="es-ES"/>
        </w:rPr>
        <w:t>iesgo de tasa de interés</w:t>
      </w:r>
    </w:p>
    <w:p w14:paraId="05D46D1A" w14:textId="77777777" w:rsidR="00DC17E7" w:rsidRDefault="00DC17E7" w:rsidP="00DC17E7">
      <w:pPr>
        <w:spacing w:after="0" w:line="240" w:lineRule="auto"/>
        <w:jc w:val="both"/>
        <w:rPr>
          <w:rFonts w:ascii="Verdana" w:eastAsia="Times New Roman" w:hAnsi="Verdana" w:cs="Arial"/>
          <w:b/>
          <w:sz w:val="20"/>
          <w:szCs w:val="20"/>
          <w:lang w:val="es-ES" w:eastAsia="es-ES"/>
        </w:rPr>
      </w:pPr>
    </w:p>
    <w:p w14:paraId="416A2E8D" w14:textId="18A614DA"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39</w:t>
      </w:r>
      <w:r w:rsidRPr="000E0B7B">
        <w:rPr>
          <w:rFonts w:ascii="Verdana" w:hAnsi="Verdana"/>
          <w:sz w:val="20"/>
          <w:szCs w:val="20"/>
        </w:rPr>
        <w:t>.</w:t>
      </w:r>
    </w:p>
    <w:p w14:paraId="2188A23A" w14:textId="1E59C103" w:rsidR="00DC17E7" w:rsidRPr="007F7C6E" w:rsidRDefault="00DC17E7" w:rsidP="00DC17E7">
      <w:pPr>
        <w:spacing w:after="0" w:line="240" w:lineRule="auto"/>
        <w:jc w:val="both"/>
        <w:rPr>
          <w:rFonts w:ascii="Verdana" w:eastAsia="Times New Roman" w:hAnsi="Verdana" w:cs="Arial"/>
          <w:sz w:val="20"/>
          <w:szCs w:val="20"/>
          <w:lang w:val="es-ES" w:eastAsia="es-ES"/>
        </w:rPr>
      </w:pPr>
      <w:r w:rsidRPr="007F7C6E">
        <w:rPr>
          <w:rFonts w:ascii="Verdana" w:eastAsia="Times New Roman" w:hAnsi="Verdana" w:cs="Arial"/>
          <w:sz w:val="20"/>
          <w:szCs w:val="20"/>
          <w:lang w:val="es-ES" w:eastAsia="es-ES"/>
        </w:rPr>
        <w:t xml:space="preserve">Las posiciones en títulos o valores de tasa fija en pesos, así como los títulos o valores emitidos en el exterior con calificación por debajo del nivel de inversión, estarán sujetas a los factores de riesgo, Componente principal 1, Componente principal 2 y Componente principal 3, asociados a la Curva Cero Cupón Pesos (factores de riesgo 1, 2 y 3 respectivamente, </w:t>
      </w:r>
      <w:r w:rsidR="005A7344">
        <w:rPr>
          <w:rFonts w:ascii="Verdana" w:eastAsia="Times New Roman" w:hAnsi="Verdana" w:cs="Arial"/>
          <w:sz w:val="20"/>
          <w:szCs w:val="20"/>
          <w:lang w:val="es-ES" w:eastAsia="es-ES"/>
        </w:rPr>
        <w:t xml:space="preserve">de la </w:t>
      </w:r>
      <w:r w:rsidRPr="007F7C6E">
        <w:rPr>
          <w:rFonts w:ascii="Verdana" w:eastAsia="Times New Roman" w:hAnsi="Verdana" w:cs="Arial"/>
          <w:sz w:val="20"/>
          <w:szCs w:val="20"/>
          <w:lang w:val="es-ES" w:eastAsia="es-ES"/>
        </w:rPr>
        <w:t>tabla 5).</w:t>
      </w:r>
    </w:p>
    <w:p w14:paraId="11C45E18" w14:textId="77777777" w:rsidR="00DC17E7" w:rsidRPr="00653E80" w:rsidRDefault="00DC17E7" w:rsidP="00DC17E7">
      <w:pPr>
        <w:pStyle w:val="Prrafodelista"/>
        <w:spacing w:after="0" w:line="240" w:lineRule="auto"/>
        <w:ind w:left="284" w:hanging="284"/>
        <w:jc w:val="both"/>
        <w:rPr>
          <w:rFonts w:ascii="Verdana" w:eastAsia="Times New Roman" w:hAnsi="Verdana" w:cs="Arial"/>
          <w:sz w:val="20"/>
          <w:szCs w:val="20"/>
          <w:lang w:val="es-ES" w:eastAsia="es-ES"/>
        </w:rPr>
      </w:pPr>
    </w:p>
    <w:p w14:paraId="355A7C16" w14:textId="0E06938B"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40</w:t>
      </w:r>
      <w:r w:rsidRPr="000E0B7B">
        <w:rPr>
          <w:rFonts w:ascii="Verdana" w:hAnsi="Verdana"/>
          <w:sz w:val="20"/>
          <w:szCs w:val="20"/>
        </w:rPr>
        <w:t>.</w:t>
      </w:r>
    </w:p>
    <w:p w14:paraId="34B7E16B" w14:textId="65A1044D" w:rsidR="00DC17E7" w:rsidRDefault="00DC17E7" w:rsidP="00913AD2">
      <w:pPr>
        <w:spacing w:after="0" w:line="240" w:lineRule="auto"/>
        <w:jc w:val="both"/>
        <w:rPr>
          <w:rFonts w:ascii="Verdana" w:eastAsia="Times New Roman" w:hAnsi="Verdana" w:cs="Arial"/>
          <w:sz w:val="20"/>
          <w:szCs w:val="20"/>
          <w:lang w:val="es-ES" w:eastAsia="es-ES"/>
        </w:rPr>
      </w:pPr>
      <w:r w:rsidRPr="007F7C6E">
        <w:rPr>
          <w:rFonts w:ascii="Verdana" w:eastAsia="Times New Roman" w:hAnsi="Verdana" w:cs="Arial"/>
          <w:sz w:val="20"/>
          <w:szCs w:val="20"/>
          <w:lang w:val="es-ES" w:eastAsia="es-ES"/>
        </w:rPr>
        <w:t>Las posiciones en títulos o valores indexadas a UVR, estarán sujetas a los factores de riesgo, Componente principal 1</w:t>
      </w:r>
      <w:r w:rsidR="00AF4281">
        <w:rPr>
          <w:rFonts w:ascii="Verdana" w:eastAsia="Times New Roman" w:hAnsi="Verdana" w:cs="Arial"/>
          <w:sz w:val="20"/>
          <w:szCs w:val="20"/>
          <w:lang w:val="es-ES" w:eastAsia="es-ES"/>
        </w:rPr>
        <w:t>,</w:t>
      </w:r>
      <w:r w:rsidRPr="007F7C6E">
        <w:rPr>
          <w:rFonts w:ascii="Verdana" w:eastAsia="Times New Roman" w:hAnsi="Verdana" w:cs="Arial"/>
          <w:sz w:val="20"/>
          <w:szCs w:val="20"/>
          <w:lang w:val="es-ES" w:eastAsia="es-ES"/>
        </w:rPr>
        <w:t xml:space="preserve"> Componente principal 2 y Componente principal 3, asociados a la Curva Cero Cupón UVR (factores de riesgo 4, 5 y 6 respectivamente, según tabla 5).</w:t>
      </w:r>
    </w:p>
    <w:p w14:paraId="0D4F941A" w14:textId="77777777" w:rsidR="00DC17E7" w:rsidRDefault="00DC17E7" w:rsidP="00DC17E7">
      <w:pPr>
        <w:spacing w:after="0" w:line="240" w:lineRule="auto"/>
        <w:rPr>
          <w:rFonts w:ascii="Verdana" w:eastAsia="Times New Roman" w:hAnsi="Verdana" w:cs="Arial"/>
          <w:sz w:val="20"/>
          <w:szCs w:val="20"/>
          <w:lang w:val="es-ES" w:eastAsia="es-ES"/>
        </w:rPr>
      </w:pPr>
    </w:p>
    <w:p w14:paraId="40F14ED6" w14:textId="1F0E7372"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41</w:t>
      </w:r>
      <w:r w:rsidRPr="000E0B7B">
        <w:rPr>
          <w:rFonts w:ascii="Verdana" w:hAnsi="Verdana"/>
          <w:sz w:val="20"/>
          <w:szCs w:val="20"/>
        </w:rPr>
        <w:t>.</w:t>
      </w:r>
    </w:p>
    <w:p w14:paraId="046A33B9" w14:textId="516C9A24" w:rsidR="00DC17E7" w:rsidRPr="007F7C6E" w:rsidRDefault="00DC17E7" w:rsidP="00DC17E7">
      <w:pPr>
        <w:jc w:val="both"/>
        <w:rPr>
          <w:rFonts w:ascii="Verdana" w:eastAsia="Times New Roman" w:hAnsi="Verdana" w:cs="Arial"/>
          <w:sz w:val="20"/>
          <w:szCs w:val="20"/>
          <w:lang w:val="es-ES" w:eastAsia="es-ES"/>
        </w:rPr>
      </w:pPr>
      <w:r w:rsidRPr="007F7C6E">
        <w:rPr>
          <w:rFonts w:ascii="Verdana" w:eastAsia="Times New Roman" w:hAnsi="Verdana" w:cs="Arial"/>
          <w:sz w:val="20"/>
          <w:szCs w:val="20"/>
          <w:lang w:val="es-ES" w:eastAsia="es-ES"/>
        </w:rPr>
        <w:t xml:space="preserve">Las posiciones en títulos o valores emitidos en el exterior, con calificación grado de inversión, estarán sujetas a los factores de riesgo, Componente principal </w:t>
      </w:r>
      <w:r w:rsidR="00AF4281">
        <w:rPr>
          <w:rFonts w:ascii="Verdana" w:eastAsia="Times New Roman" w:hAnsi="Verdana" w:cs="Arial"/>
          <w:sz w:val="20"/>
          <w:szCs w:val="20"/>
          <w:lang w:val="es-ES" w:eastAsia="es-ES"/>
        </w:rPr>
        <w:t xml:space="preserve">1, </w:t>
      </w:r>
      <w:r w:rsidRPr="007F7C6E">
        <w:rPr>
          <w:rFonts w:ascii="Verdana" w:eastAsia="Times New Roman" w:hAnsi="Verdana" w:cs="Arial"/>
          <w:sz w:val="20"/>
          <w:szCs w:val="20"/>
          <w:lang w:val="es-ES" w:eastAsia="es-ES"/>
        </w:rPr>
        <w:t>Componente principal 2 y Componente principal 3, asociados a la Curva Cero Cupón Tesoros (factores de riesgo 7, 8 y 9 respectivamente, según tabla 5).</w:t>
      </w:r>
    </w:p>
    <w:p w14:paraId="794EFAB9" w14:textId="27166635"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42</w:t>
      </w:r>
      <w:r w:rsidRPr="000E0B7B">
        <w:rPr>
          <w:rFonts w:ascii="Verdana" w:hAnsi="Verdana"/>
          <w:sz w:val="20"/>
          <w:szCs w:val="20"/>
        </w:rPr>
        <w:t>.</w:t>
      </w:r>
    </w:p>
    <w:p w14:paraId="65F58616" w14:textId="57BEBD21" w:rsidR="00DC17E7" w:rsidRPr="000946E5" w:rsidRDefault="00DC17E7" w:rsidP="00DC17E7">
      <w:pPr>
        <w:spacing w:after="0" w:line="240" w:lineRule="auto"/>
        <w:jc w:val="both"/>
        <w:rPr>
          <w:rFonts w:ascii="Verdana" w:eastAsia="Times New Roman" w:hAnsi="Verdana" w:cs="Arial"/>
          <w:sz w:val="20"/>
          <w:szCs w:val="20"/>
          <w:lang w:val="es-ES" w:eastAsia="es-ES"/>
        </w:rPr>
      </w:pPr>
      <w:r w:rsidRPr="000946E5">
        <w:rPr>
          <w:rFonts w:ascii="Verdana" w:eastAsia="Times New Roman" w:hAnsi="Verdana" w:cs="Arial"/>
          <w:sz w:val="20"/>
          <w:szCs w:val="20"/>
          <w:lang w:val="es-ES" w:eastAsia="es-ES"/>
        </w:rPr>
        <w:t>Las posiciones en títulos o valores indexados a DTF y con un plazo al vencimiento menor o igual a un año estarán sujetas al factor de riesgo de corto plazo asociado a las tasas DTF (factor de riesgo número 10, según tabla 5).</w:t>
      </w:r>
    </w:p>
    <w:p w14:paraId="1725F600" w14:textId="77777777" w:rsidR="00DC17E7" w:rsidRPr="00653E80" w:rsidRDefault="00DC17E7" w:rsidP="00DC17E7">
      <w:pPr>
        <w:pStyle w:val="Prrafodelista"/>
        <w:spacing w:after="0" w:line="240" w:lineRule="auto"/>
        <w:ind w:left="0"/>
        <w:jc w:val="both"/>
        <w:rPr>
          <w:rFonts w:ascii="Verdana" w:eastAsia="Times New Roman" w:hAnsi="Verdana" w:cs="Arial"/>
          <w:sz w:val="20"/>
          <w:szCs w:val="20"/>
          <w:lang w:val="es-ES" w:eastAsia="es-ES"/>
        </w:rPr>
      </w:pPr>
    </w:p>
    <w:p w14:paraId="265B2914" w14:textId="0EDC7DE2"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43</w:t>
      </w:r>
      <w:r w:rsidRPr="000E0B7B">
        <w:rPr>
          <w:rFonts w:ascii="Verdana" w:hAnsi="Verdana"/>
          <w:sz w:val="20"/>
          <w:szCs w:val="20"/>
        </w:rPr>
        <w:t>.</w:t>
      </w:r>
    </w:p>
    <w:p w14:paraId="1243BE42" w14:textId="4E623616" w:rsidR="00DC17E7" w:rsidRPr="000946E5" w:rsidRDefault="00DC17E7" w:rsidP="00DC17E7">
      <w:pPr>
        <w:spacing w:after="0" w:line="240" w:lineRule="auto"/>
        <w:jc w:val="both"/>
        <w:rPr>
          <w:rFonts w:ascii="Verdana" w:eastAsia="Times New Roman" w:hAnsi="Verdana" w:cs="Arial"/>
          <w:sz w:val="20"/>
          <w:szCs w:val="20"/>
          <w:lang w:val="es-ES" w:eastAsia="es-ES"/>
        </w:rPr>
      </w:pPr>
      <w:r w:rsidRPr="000946E5">
        <w:rPr>
          <w:rFonts w:ascii="Verdana" w:eastAsia="Times New Roman" w:hAnsi="Verdana" w:cs="Arial"/>
          <w:sz w:val="20"/>
          <w:szCs w:val="20"/>
          <w:lang w:val="es-ES" w:eastAsia="es-ES"/>
        </w:rPr>
        <w:t>Las posiciones en títulos o valores indexados a DTF y con un plazo al vencimiento mayor a un año, estarán sujetas al factor de riesgo de largo plazo asociado a las tasas DTF (factor de riesgo número 11, según tabla 5).</w:t>
      </w:r>
    </w:p>
    <w:p w14:paraId="4BE6A339" w14:textId="77777777" w:rsidR="00DC17E7" w:rsidRPr="00653E80" w:rsidRDefault="00DC17E7" w:rsidP="00DC17E7">
      <w:pPr>
        <w:pStyle w:val="Prrafodelista"/>
        <w:spacing w:after="0" w:line="240" w:lineRule="auto"/>
        <w:ind w:left="0"/>
        <w:jc w:val="both"/>
        <w:rPr>
          <w:rFonts w:ascii="Verdana" w:eastAsia="Times New Roman" w:hAnsi="Verdana" w:cs="Arial"/>
          <w:sz w:val="20"/>
          <w:szCs w:val="20"/>
          <w:lang w:val="es-ES" w:eastAsia="es-ES"/>
        </w:rPr>
      </w:pPr>
    </w:p>
    <w:p w14:paraId="6A1092DA" w14:textId="5E6C83C1"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44</w:t>
      </w:r>
      <w:r w:rsidRPr="000E0B7B">
        <w:rPr>
          <w:rFonts w:ascii="Verdana" w:hAnsi="Verdana"/>
          <w:sz w:val="20"/>
          <w:szCs w:val="20"/>
        </w:rPr>
        <w:t>.</w:t>
      </w:r>
    </w:p>
    <w:p w14:paraId="18DEAA89" w14:textId="32BBF4A8" w:rsidR="00DC17E7" w:rsidRDefault="00DC17E7" w:rsidP="00DC17E7">
      <w:pPr>
        <w:spacing w:after="0" w:line="240" w:lineRule="auto"/>
        <w:jc w:val="both"/>
        <w:rPr>
          <w:rFonts w:ascii="Verdana" w:eastAsia="Times New Roman" w:hAnsi="Verdana" w:cs="Arial"/>
          <w:sz w:val="20"/>
          <w:szCs w:val="20"/>
          <w:lang w:val="es-ES" w:eastAsia="es-ES"/>
        </w:rPr>
      </w:pPr>
      <w:r w:rsidRPr="000946E5">
        <w:rPr>
          <w:rFonts w:ascii="Verdana" w:eastAsia="Times New Roman" w:hAnsi="Verdana" w:cs="Arial"/>
          <w:sz w:val="20"/>
          <w:szCs w:val="20"/>
          <w:lang w:val="es-ES" w:eastAsia="es-ES"/>
        </w:rPr>
        <w:t>Las posiciones en títulos o valores indexados a IPC estarán sujetas al factor de riesgo IPC (factor de riesgo número 14, según tabla 5).</w:t>
      </w:r>
    </w:p>
    <w:p w14:paraId="31410E7B" w14:textId="77777777" w:rsidR="00DC17E7" w:rsidRDefault="00DC17E7" w:rsidP="00DC17E7">
      <w:pPr>
        <w:spacing w:after="0" w:line="240" w:lineRule="auto"/>
        <w:jc w:val="both"/>
        <w:rPr>
          <w:rFonts w:ascii="Verdana" w:eastAsia="Times New Roman" w:hAnsi="Verdana" w:cs="Arial"/>
          <w:sz w:val="20"/>
          <w:szCs w:val="20"/>
          <w:lang w:val="es-ES" w:eastAsia="es-ES"/>
        </w:rPr>
      </w:pPr>
    </w:p>
    <w:p w14:paraId="2028E701" w14:textId="0616BD5F"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4</w:t>
      </w:r>
      <w:r w:rsidR="006E077A">
        <w:rPr>
          <w:rFonts w:ascii="Verdana" w:hAnsi="Verdana"/>
          <w:sz w:val="20"/>
          <w:szCs w:val="20"/>
        </w:rPr>
        <w:t>5</w:t>
      </w:r>
      <w:r w:rsidRPr="000E0B7B">
        <w:rPr>
          <w:rFonts w:ascii="Verdana" w:hAnsi="Verdana"/>
          <w:sz w:val="20"/>
          <w:szCs w:val="20"/>
        </w:rPr>
        <w:t>.</w:t>
      </w:r>
    </w:p>
    <w:p w14:paraId="5C32C8CF" w14:textId="77777777" w:rsidR="00DC17E7" w:rsidRPr="000946E5" w:rsidRDefault="00DC17E7" w:rsidP="00DC17E7">
      <w:pPr>
        <w:spacing w:after="0" w:line="240" w:lineRule="auto"/>
        <w:jc w:val="both"/>
        <w:rPr>
          <w:rFonts w:ascii="Verdana" w:eastAsia="Times New Roman" w:hAnsi="Verdana" w:cs="Arial"/>
          <w:sz w:val="20"/>
          <w:szCs w:val="20"/>
          <w:lang w:val="es-ES" w:eastAsia="es-ES"/>
        </w:rPr>
      </w:pPr>
      <w:r w:rsidRPr="000946E5">
        <w:rPr>
          <w:rFonts w:ascii="Verdana" w:eastAsia="Times New Roman" w:hAnsi="Verdana" w:cs="Arial"/>
          <w:sz w:val="20"/>
          <w:szCs w:val="20"/>
          <w:lang w:val="es-ES" w:eastAsia="es-ES"/>
        </w:rPr>
        <w:t>Las posiciones en títulos o valores indexados a la IBR y con un plazo al vencimiento menor o igual a un año, estarán sujetas al factor de riesgo de corto plazo asociado a las tasas IBR (factor de riesgo número 12, según tabla 5).</w:t>
      </w:r>
    </w:p>
    <w:p w14:paraId="234E96ED" w14:textId="77777777" w:rsidR="00DC17E7" w:rsidRPr="00653E80" w:rsidRDefault="00DC17E7" w:rsidP="00DC17E7">
      <w:pPr>
        <w:pStyle w:val="Prrafodelista"/>
        <w:spacing w:after="0" w:line="240" w:lineRule="auto"/>
        <w:ind w:left="284"/>
        <w:jc w:val="both"/>
        <w:rPr>
          <w:rFonts w:ascii="Verdana" w:eastAsia="Times New Roman" w:hAnsi="Verdana" w:cs="Arial"/>
          <w:sz w:val="20"/>
          <w:szCs w:val="20"/>
          <w:lang w:val="es-ES" w:eastAsia="es-ES"/>
        </w:rPr>
      </w:pPr>
    </w:p>
    <w:p w14:paraId="1900C0E4" w14:textId="5E6C7190"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700B63">
        <w:rPr>
          <w:rFonts w:ascii="Verdana" w:hAnsi="Verdana"/>
          <w:sz w:val="20"/>
          <w:szCs w:val="20"/>
        </w:rPr>
        <w:t>4</w:t>
      </w:r>
      <w:r w:rsidR="006E077A">
        <w:rPr>
          <w:rFonts w:ascii="Verdana" w:hAnsi="Verdana"/>
          <w:sz w:val="20"/>
          <w:szCs w:val="20"/>
        </w:rPr>
        <w:t>6</w:t>
      </w:r>
      <w:r w:rsidRPr="000E0B7B">
        <w:rPr>
          <w:rFonts w:ascii="Verdana" w:hAnsi="Verdana"/>
          <w:sz w:val="20"/>
          <w:szCs w:val="20"/>
        </w:rPr>
        <w:t>.</w:t>
      </w:r>
    </w:p>
    <w:p w14:paraId="4CF4A68C" w14:textId="77777777" w:rsidR="00DC17E7" w:rsidRPr="000946E5" w:rsidRDefault="00DC17E7" w:rsidP="00DC17E7">
      <w:pPr>
        <w:spacing w:after="0" w:line="240" w:lineRule="auto"/>
        <w:jc w:val="both"/>
        <w:rPr>
          <w:rFonts w:ascii="Verdana" w:eastAsia="Times New Roman" w:hAnsi="Verdana" w:cs="Arial"/>
          <w:sz w:val="20"/>
          <w:szCs w:val="20"/>
          <w:lang w:val="es-ES" w:eastAsia="es-ES"/>
        </w:rPr>
      </w:pPr>
      <w:r w:rsidRPr="000946E5">
        <w:rPr>
          <w:rFonts w:ascii="Verdana" w:eastAsia="Times New Roman" w:hAnsi="Verdana" w:cs="Arial"/>
          <w:sz w:val="20"/>
          <w:szCs w:val="20"/>
          <w:lang w:val="es-ES" w:eastAsia="es-ES"/>
        </w:rPr>
        <w:t>Las posiciones en títulos o valores indexados a la IBR y con un plazo al vencimiento mayor a un año, estarán sujetas al factor de riesgo de corto plazo asociado a las tasas IBR (factor de riesgo número 13, según tabla 5).</w:t>
      </w:r>
    </w:p>
    <w:p w14:paraId="5F37EE16" w14:textId="77777777" w:rsidR="00DC17E7" w:rsidRDefault="00DC17E7" w:rsidP="00DC17E7">
      <w:pPr>
        <w:pStyle w:val="Prrafodelista"/>
        <w:spacing w:after="0" w:line="240" w:lineRule="auto"/>
        <w:ind w:left="0"/>
        <w:jc w:val="both"/>
        <w:rPr>
          <w:rFonts w:ascii="Verdana" w:eastAsia="Times New Roman" w:hAnsi="Verdana" w:cs="Arial"/>
          <w:sz w:val="20"/>
          <w:szCs w:val="20"/>
          <w:lang w:val="es-ES" w:eastAsia="es-ES"/>
        </w:rPr>
      </w:pPr>
    </w:p>
    <w:p w14:paraId="7FB5B96D" w14:textId="77777777" w:rsidR="00DC17E7" w:rsidRPr="00F53CDB" w:rsidRDefault="00DC17E7" w:rsidP="00C51094">
      <w:pPr>
        <w:pStyle w:val="Prrafodelista"/>
        <w:numPr>
          <w:ilvl w:val="0"/>
          <w:numId w:val="39"/>
        </w:numPr>
        <w:spacing w:after="0" w:line="240" w:lineRule="auto"/>
        <w:ind w:left="284" w:hanging="284"/>
        <w:jc w:val="both"/>
        <w:rPr>
          <w:rFonts w:ascii="Verdana" w:eastAsia="Times New Roman" w:hAnsi="Verdana" w:cs="Arial"/>
          <w:b/>
          <w:bCs/>
          <w:sz w:val="20"/>
          <w:szCs w:val="20"/>
          <w:lang w:val="es-ES" w:eastAsia="es-ES"/>
        </w:rPr>
      </w:pPr>
      <w:r w:rsidRPr="00F53CDB">
        <w:rPr>
          <w:rFonts w:ascii="Verdana" w:eastAsia="Times New Roman" w:hAnsi="Verdana" w:cs="Arial"/>
          <w:b/>
          <w:bCs/>
          <w:sz w:val="20"/>
          <w:szCs w:val="20"/>
          <w:lang w:val="es-ES" w:eastAsia="es-ES"/>
        </w:rPr>
        <w:t>Cálculo de la exposición neta, mapeo de posiciones y cálculo de la sensibilidad al riesgo</w:t>
      </w:r>
    </w:p>
    <w:p w14:paraId="799778F7"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43088B00" w14:textId="0BB6CA93"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6E077A">
        <w:rPr>
          <w:rFonts w:ascii="Verdana" w:hAnsi="Verdana"/>
          <w:sz w:val="20"/>
          <w:szCs w:val="20"/>
        </w:rPr>
        <w:t>47</w:t>
      </w:r>
      <w:r w:rsidRPr="000E0B7B">
        <w:rPr>
          <w:rFonts w:ascii="Verdana" w:hAnsi="Verdana"/>
          <w:sz w:val="20"/>
          <w:szCs w:val="20"/>
        </w:rPr>
        <w:t>.</w:t>
      </w:r>
    </w:p>
    <w:p w14:paraId="39C94ECD" w14:textId="77777777" w:rsidR="00DC17E7"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Para efectos del cálculo de la sensibilidad al riesgo de tasa de interés, se menciona a continuación el proceso según el cual como primer paso se deben mapear las posiciones tanto largas como cortas del portafolio, luego calcular el valor de la exposición neta, para finalmente realizar el cálculo de la sensibilidad al riesgo.</w:t>
      </w:r>
    </w:p>
    <w:p w14:paraId="7AE0D31B"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1E0F9B56" w14:textId="62A52E0E" w:rsidR="00DC17E7" w:rsidRPr="00797078" w:rsidRDefault="00DC17E7" w:rsidP="0009519F">
      <w:pPr>
        <w:pStyle w:val="Prrafodelista"/>
        <w:numPr>
          <w:ilvl w:val="0"/>
          <w:numId w:val="47"/>
        </w:numPr>
        <w:spacing w:after="0" w:line="240" w:lineRule="auto"/>
        <w:ind w:left="567" w:hanging="283"/>
        <w:jc w:val="both"/>
        <w:rPr>
          <w:rFonts w:ascii="Verdana" w:eastAsia="Times New Roman" w:hAnsi="Verdana" w:cs="Arial"/>
          <w:b/>
          <w:bCs/>
          <w:sz w:val="20"/>
          <w:szCs w:val="20"/>
          <w:lang w:val="es-ES" w:eastAsia="es-ES"/>
        </w:rPr>
      </w:pPr>
      <w:r w:rsidRPr="00797078">
        <w:rPr>
          <w:rFonts w:ascii="Verdana" w:eastAsia="Times New Roman" w:hAnsi="Verdana" w:cs="Arial"/>
          <w:b/>
          <w:bCs/>
          <w:sz w:val="20"/>
          <w:szCs w:val="20"/>
          <w:lang w:val="es-ES" w:eastAsia="es-ES"/>
        </w:rPr>
        <w:t>Mapeo de posiciones</w:t>
      </w:r>
      <w:r w:rsidR="000470A0">
        <w:rPr>
          <w:rFonts w:ascii="Verdana" w:eastAsia="Times New Roman" w:hAnsi="Verdana" w:cs="Arial"/>
          <w:b/>
          <w:bCs/>
          <w:sz w:val="20"/>
          <w:szCs w:val="20"/>
          <w:lang w:val="es-ES" w:eastAsia="es-ES"/>
        </w:rPr>
        <w:t xml:space="preserve"> </w:t>
      </w:r>
      <w:r w:rsidR="000470A0" w:rsidRPr="000470A0">
        <w:rPr>
          <w:rFonts w:ascii="Verdana" w:eastAsia="Times New Roman" w:hAnsi="Verdana" w:cs="Arial"/>
          <w:b/>
          <w:bCs/>
          <w:sz w:val="20"/>
          <w:szCs w:val="20"/>
          <w:lang w:val="es-ES" w:eastAsia="es-ES"/>
        </w:rPr>
        <w:t>tasa fija en pesos, UVR y emisiones del exterior</w:t>
      </w:r>
    </w:p>
    <w:p w14:paraId="7ACE20BE" w14:textId="77777777" w:rsidR="00DC17E7" w:rsidRPr="00653E80" w:rsidRDefault="00DC17E7" w:rsidP="00DC17E7">
      <w:pPr>
        <w:spacing w:after="0" w:line="240" w:lineRule="auto"/>
        <w:jc w:val="both"/>
        <w:rPr>
          <w:rFonts w:ascii="Verdana" w:eastAsia="Times New Roman" w:hAnsi="Verdana" w:cs="Arial"/>
          <w:b/>
          <w:sz w:val="20"/>
          <w:szCs w:val="20"/>
          <w:lang w:val="es-ES" w:eastAsia="es-ES"/>
        </w:rPr>
      </w:pPr>
    </w:p>
    <w:p w14:paraId="50CB23B7" w14:textId="4E862112" w:rsidR="00DC17E7"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1B26CE">
        <w:rPr>
          <w:rFonts w:ascii="Verdana" w:hAnsi="Verdana"/>
          <w:sz w:val="20"/>
          <w:szCs w:val="20"/>
        </w:rPr>
        <w:t>48</w:t>
      </w:r>
      <w:r w:rsidRPr="000E0B7B">
        <w:rPr>
          <w:rFonts w:ascii="Verdana" w:hAnsi="Verdana"/>
          <w:sz w:val="20"/>
          <w:szCs w:val="20"/>
        </w:rPr>
        <w:t>.</w:t>
      </w:r>
    </w:p>
    <w:p w14:paraId="79B5F5F9" w14:textId="26AD6912" w:rsidR="00DC17E7" w:rsidRPr="00653E80" w:rsidRDefault="00DC17E7" w:rsidP="00E604FF">
      <w:pPr>
        <w:spacing w:after="0"/>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Los flujos de este tipo de títulos o valores se mapearán con base en los días al vencimiento de los flujos del título, como lo muestra la </w:t>
      </w:r>
      <w:r w:rsidR="00955C73">
        <w:rPr>
          <w:rFonts w:ascii="Verdana" w:eastAsia="Times New Roman" w:hAnsi="Verdana" w:cs="Arial"/>
          <w:sz w:val="20"/>
          <w:szCs w:val="20"/>
          <w:lang w:val="es-ES" w:eastAsia="es-ES"/>
        </w:rPr>
        <w:t>t</w:t>
      </w:r>
      <w:r w:rsidRPr="00653E80">
        <w:rPr>
          <w:rFonts w:ascii="Verdana" w:eastAsia="Times New Roman" w:hAnsi="Verdana" w:cs="Arial"/>
          <w:sz w:val="20"/>
          <w:szCs w:val="20"/>
          <w:lang w:val="es-ES" w:eastAsia="es-ES"/>
        </w:rPr>
        <w:t>abla 4.</w:t>
      </w:r>
    </w:p>
    <w:p w14:paraId="54AA5003" w14:textId="77777777" w:rsidR="00DC17E7" w:rsidRPr="00653E80" w:rsidRDefault="00DC17E7" w:rsidP="00DC17E7">
      <w:pPr>
        <w:spacing w:after="0" w:line="240" w:lineRule="auto"/>
        <w:jc w:val="center"/>
        <w:outlineLvl w:val="0"/>
        <w:rPr>
          <w:rFonts w:ascii="Verdana" w:eastAsia="Times New Roman" w:hAnsi="Verdana" w:cs="Arial"/>
          <w:sz w:val="20"/>
          <w:szCs w:val="20"/>
          <w:lang w:val="es-MX" w:eastAsia="es-ES"/>
        </w:rPr>
      </w:pPr>
    </w:p>
    <w:p w14:paraId="24CC54FD" w14:textId="77777777" w:rsidR="00DC17E7" w:rsidRPr="00653E80" w:rsidRDefault="00DC17E7" w:rsidP="00DC17E7">
      <w:pPr>
        <w:spacing w:after="0" w:line="240" w:lineRule="auto"/>
        <w:jc w:val="center"/>
        <w:outlineLvl w:val="0"/>
        <w:rPr>
          <w:rFonts w:ascii="Verdana" w:eastAsia="Times New Roman" w:hAnsi="Verdana" w:cs="Arial"/>
          <w:sz w:val="20"/>
          <w:szCs w:val="20"/>
          <w:lang w:val="es-MX" w:eastAsia="es-ES"/>
        </w:rPr>
      </w:pPr>
      <w:r w:rsidRPr="00653E80">
        <w:rPr>
          <w:rFonts w:ascii="Verdana" w:eastAsia="Times New Roman" w:hAnsi="Verdana" w:cs="Arial"/>
          <w:b/>
          <w:sz w:val="20"/>
          <w:szCs w:val="20"/>
          <w:lang w:val="es-MX" w:eastAsia="es-ES"/>
        </w:rPr>
        <w:t>Tabla 4</w:t>
      </w:r>
    </w:p>
    <w:tbl>
      <w:tblPr>
        <w:tblW w:w="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6"/>
        <w:gridCol w:w="1144"/>
        <w:gridCol w:w="954"/>
        <w:gridCol w:w="1446"/>
      </w:tblGrid>
      <w:tr w:rsidR="00DC17E7" w:rsidRPr="00653E80" w14:paraId="1955C6C2" w14:textId="77777777" w:rsidTr="0070479A">
        <w:trPr>
          <w:trHeight w:val="255"/>
          <w:jc w:val="center"/>
        </w:trPr>
        <w:tc>
          <w:tcPr>
            <w:tcW w:w="2400" w:type="dxa"/>
            <w:gridSpan w:val="2"/>
            <w:shd w:val="clear" w:color="auto" w:fill="D1D1D1" w:themeFill="background2" w:themeFillShade="E6"/>
            <w:noWrap/>
            <w:vAlign w:val="bottom"/>
          </w:tcPr>
          <w:p w14:paraId="4DE535D7" w14:textId="77777777" w:rsidR="00DC17E7" w:rsidRPr="0070479A"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70479A">
              <w:rPr>
                <w:rFonts w:ascii="Verdana" w:eastAsia="Times New Roman" w:hAnsi="Verdana" w:cs="Arial"/>
                <w:b/>
                <w:bCs/>
                <w:color w:val="000000"/>
                <w:kern w:val="0"/>
                <w:sz w:val="16"/>
                <w:szCs w:val="16"/>
                <w:lang w:eastAsia="es-CO"/>
                <w14:ligatures w14:val="none"/>
              </w:rPr>
              <w:t>RANGOS días vencimiento</w:t>
            </w:r>
          </w:p>
        </w:tc>
        <w:tc>
          <w:tcPr>
            <w:tcW w:w="2400" w:type="dxa"/>
            <w:gridSpan w:val="2"/>
            <w:shd w:val="clear" w:color="auto" w:fill="D1D1D1" w:themeFill="background2" w:themeFillShade="E6"/>
            <w:noWrap/>
            <w:vAlign w:val="center"/>
          </w:tcPr>
          <w:p w14:paraId="6D4F6154" w14:textId="77777777" w:rsidR="00DC17E7" w:rsidRPr="0070479A"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70479A">
              <w:rPr>
                <w:rFonts w:ascii="Verdana" w:eastAsia="Times New Roman" w:hAnsi="Verdana" w:cs="Arial"/>
                <w:b/>
                <w:bCs/>
                <w:color w:val="000000"/>
                <w:kern w:val="0"/>
                <w:sz w:val="16"/>
                <w:szCs w:val="16"/>
                <w:lang w:eastAsia="es-CO"/>
                <w14:ligatures w14:val="none"/>
              </w:rPr>
              <w:t>Asignación</w:t>
            </w:r>
          </w:p>
        </w:tc>
      </w:tr>
      <w:tr w:rsidR="00DC17E7" w:rsidRPr="00653E80" w14:paraId="18828E46" w14:textId="77777777" w:rsidTr="0070479A">
        <w:trPr>
          <w:trHeight w:val="255"/>
          <w:jc w:val="center"/>
        </w:trPr>
        <w:tc>
          <w:tcPr>
            <w:tcW w:w="1256" w:type="dxa"/>
            <w:shd w:val="clear" w:color="auto" w:fill="D1D1D1" w:themeFill="background2" w:themeFillShade="E6"/>
            <w:noWrap/>
            <w:vAlign w:val="center"/>
          </w:tcPr>
          <w:p w14:paraId="0AB6C20B" w14:textId="77777777" w:rsidR="00DC17E7" w:rsidRPr="0070479A"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70479A">
              <w:rPr>
                <w:rFonts w:ascii="Verdana" w:eastAsia="Times New Roman" w:hAnsi="Verdana" w:cs="Arial"/>
                <w:b/>
                <w:bCs/>
                <w:color w:val="000000"/>
                <w:kern w:val="0"/>
                <w:sz w:val="16"/>
                <w:szCs w:val="16"/>
                <w:lang w:eastAsia="es-CO"/>
                <w14:ligatures w14:val="none"/>
              </w:rPr>
              <w:t>Desde</w:t>
            </w:r>
          </w:p>
        </w:tc>
        <w:tc>
          <w:tcPr>
            <w:tcW w:w="1144" w:type="dxa"/>
            <w:shd w:val="clear" w:color="auto" w:fill="D1D1D1" w:themeFill="background2" w:themeFillShade="E6"/>
            <w:noWrap/>
            <w:vAlign w:val="center"/>
          </w:tcPr>
          <w:p w14:paraId="203ED100" w14:textId="77777777" w:rsidR="00DC17E7" w:rsidRPr="0070479A"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70479A">
              <w:rPr>
                <w:rFonts w:ascii="Verdana" w:eastAsia="Times New Roman" w:hAnsi="Verdana" w:cs="Arial"/>
                <w:b/>
                <w:bCs/>
                <w:color w:val="000000"/>
                <w:kern w:val="0"/>
                <w:sz w:val="16"/>
                <w:szCs w:val="16"/>
                <w:lang w:eastAsia="es-CO"/>
                <w14:ligatures w14:val="none"/>
              </w:rPr>
              <w:t>Hasta</w:t>
            </w:r>
          </w:p>
        </w:tc>
        <w:tc>
          <w:tcPr>
            <w:tcW w:w="954" w:type="dxa"/>
            <w:shd w:val="clear" w:color="auto" w:fill="D1D1D1" w:themeFill="background2" w:themeFillShade="E6"/>
            <w:noWrap/>
            <w:vAlign w:val="center"/>
          </w:tcPr>
          <w:p w14:paraId="24E4BEE6" w14:textId="77777777" w:rsidR="00DC17E7" w:rsidRPr="0070479A"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70479A">
              <w:rPr>
                <w:rFonts w:ascii="Verdana" w:eastAsia="Times New Roman" w:hAnsi="Verdana" w:cs="Arial"/>
                <w:b/>
                <w:bCs/>
                <w:color w:val="000000"/>
                <w:kern w:val="0"/>
                <w:sz w:val="16"/>
                <w:szCs w:val="16"/>
                <w:lang w:eastAsia="es-CO"/>
                <w14:ligatures w14:val="none"/>
              </w:rPr>
              <w:t>nodo</w:t>
            </w:r>
          </w:p>
        </w:tc>
        <w:tc>
          <w:tcPr>
            <w:tcW w:w="1446" w:type="dxa"/>
            <w:shd w:val="clear" w:color="auto" w:fill="D1D1D1" w:themeFill="background2" w:themeFillShade="E6"/>
            <w:noWrap/>
            <w:vAlign w:val="center"/>
          </w:tcPr>
          <w:p w14:paraId="767C457C" w14:textId="77777777" w:rsidR="00DC17E7" w:rsidRPr="0070479A"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70479A">
              <w:rPr>
                <w:rFonts w:ascii="Verdana" w:eastAsia="Times New Roman" w:hAnsi="Verdana" w:cs="Arial"/>
                <w:b/>
                <w:bCs/>
                <w:color w:val="000000"/>
                <w:kern w:val="0"/>
                <w:sz w:val="16"/>
                <w:szCs w:val="16"/>
                <w:lang w:eastAsia="es-CO"/>
                <w14:ligatures w14:val="none"/>
              </w:rPr>
              <w:t>Días al vencimiento</w:t>
            </w:r>
          </w:p>
        </w:tc>
      </w:tr>
      <w:tr w:rsidR="00DC17E7" w:rsidRPr="00653E80" w14:paraId="46B6F36F" w14:textId="77777777" w:rsidTr="00F130A5">
        <w:trPr>
          <w:trHeight w:val="255"/>
          <w:jc w:val="center"/>
        </w:trPr>
        <w:tc>
          <w:tcPr>
            <w:tcW w:w="1256" w:type="dxa"/>
            <w:noWrap/>
            <w:vAlign w:val="bottom"/>
          </w:tcPr>
          <w:p w14:paraId="6398E061"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0</w:t>
            </w:r>
          </w:p>
        </w:tc>
        <w:tc>
          <w:tcPr>
            <w:tcW w:w="1144" w:type="dxa"/>
            <w:noWrap/>
            <w:vAlign w:val="bottom"/>
          </w:tcPr>
          <w:p w14:paraId="7AE4D7FB"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180</w:t>
            </w:r>
          </w:p>
        </w:tc>
        <w:tc>
          <w:tcPr>
            <w:tcW w:w="954" w:type="dxa"/>
            <w:noWrap/>
            <w:vAlign w:val="bottom"/>
          </w:tcPr>
          <w:p w14:paraId="383EA3DB"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w:t>
            </w:r>
          </w:p>
        </w:tc>
        <w:tc>
          <w:tcPr>
            <w:tcW w:w="1446" w:type="dxa"/>
            <w:noWrap/>
            <w:vAlign w:val="bottom"/>
          </w:tcPr>
          <w:p w14:paraId="5620E325"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180</w:t>
            </w:r>
          </w:p>
        </w:tc>
      </w:tr>
      <w:tr w:rsidR="00DC17E7" w:rsidRPr="00653E80" w14:paraId="5F5659AE" w14:textId="77777777" w:rsidTr="00F130A5">
        <w:trPr>
          <w:trHeight w:val="255"/>
          <w:jc w:val="center"/>
        </w:trPr>
        <w:tc>
          <w:tcPr>
            <w:tcW w:w="1256" w:type="dxa"/>
            <w:noWrap/>
            <w:vAlign w:val="bottom"/>
          </w:tcPr>
          <w:p w14:paraId="73A5BFDD"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181</w:t>
            </w:r>
          </w:p>
        </w:tc>
        <w:tc>
          <w:tcPr>
            <w:tcW w:w="1144" w:type="dxa"/>
            <w:noWrap/>
            <w:vAlign w:val="bottom"/>
          </w:tcPr>
          <w:p w14:paraId="38BE799F"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545</w:t>
            </w:r>
          </w:p>
        </w:tc>
        <w:tc>
          <w:tcPr>
            <w:tcW w:w="954" w:type="dxa"/>
            <w:noWrap/>
            <w:vAlign w:val="bottom"/>
          </w:tcPr>
          <w:p w14:paraId="7E4C97CF"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2</w:t>
            </w:r>
          </w:p>
        </w:tc>
        <w:tc>
          <w:tcPr>
            <w:tcW w:w="1446" w:type="dxa"/>
            <w:noWrap/>
            <w:vAlign w:val="bottom"/>
          </w:tcPr>
          <w:p w14:paraId="5B68D23D"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365</w:t>
            </w:r>
          </w:p>
        </w:tc>
      </w:tr>
      <w:tr w:rsidR="00DC17E7" w:rsidRPr="00653E80" w14:paraId="2B624B00" w14:textId="77777777" w:rsidTr="00F130A5">
        <w:trPr>
          <w:trHeight w:val="255"/>
          <w:jc w:val="center"/>
        </w:trPr>
        <w:tc>
          <w:tcPr>
            <w:tcW w:w="1256" w:type="dxa"/>
            <w:noWrap/>
            <w:vAlign w:val="bottom"/>
          </w:tcPr>
          <w:p w14:paraId="0EBB5B27"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546</w:t>
            </w:r>
          </w:p>
        </w:tc>
        <w:tc>
          <w:tcPr>
            <w:tcW w:w="1144" w:type="dxa"/>
            <w:noWrap/>
            <w:vAlign w:val="bottom"/>
          </w:tcPr>
          <w:p w14:paraId="44A4B312"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910</w:t>
            </w:r>
          </w:p>
        </w:tc>
        <w:tc>
          <w:tcPr>
            <w:tcW w:w="954" w:type="dxa"/>
            <w:noWrap/>
            <w:vAlign w:val="bottom"/>
          </w:tcPr>
          <w:p w14:paraId="7D769373"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3</w:t>
            </w:r>
          </w:p>
        </w:tc>
        <w:tc>
          <w:tcPr>
            <w:tcW w:w="1446" w:type="dxa"/>
            <w:noWrap/>
            <w:vAlign w:val="bottom"/>
          </w:tcPr>
          <w:p w14:paraId="4903A1C8"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730</w:t>
            </w:r>
          </w:p>
        </w:tc>
      </w:tr>
      <w:tr w:rsidR="00DC17E7" w:rsidRPr="00653E80" w14:paraId="77646CF3" w14:textId="77777777" w:rsidTr="00F130A5">
        <w:trPr>
          <w:trHeight w:val="255"/>
          <w:jc w:val="center"/>
        </w:trPr>
        <w:tc>
          <w:tcPr>
            <w:tcW w:w="1256" w:type="dxa"/>
            <w:noWrap/>
            <w:vAlign w:val="bottom"/>
          </w:tcPr>
          <w:p w14:paraId="74E41491"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911</w:t>
            </w:r>
          </w:p>
        </w:tc>
        <w:tc>
          <w:tcPr>
            <w:tcW w:w="1144" w:type="dxa"/>
            <w:noWrap/>
            <w:vAlign w:val="bottom"/>
          </w:tcPr>
          <w:p w14:paraId="6CF5E925"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1275</w:t>
            </w:r>
          </w:p>
        </w:tc>
        <w:tc>
          <w:tcPr>
            <w:tcW w:w="954" w:type="dxa"/>
            <w:noWrap/>
            <w:vAlign w:val="bottom"/>
          </w:tcPr>
          <w:p w14:paraId="30FE34FE"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4</w:t>
            </w:r>
          </w:p>
        </w:tc>
        <w:tc>
          <w:tcPr>
            <w:tcW w:w="1446" w:type="dxa"/>
            <w:noWrap/>
            <w:vAlign w:val="bottom"/>
          </w:tcPr>
          <w:p w14:paraId="2343B430"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1095</w:t>
            </w:r>
          </w:p>
        </w:tc>
      </w:tr>
      <w:tr w:rsidR="00DC17E7" w:rsidRPr="00653E80" w14:paraId="0F3B53D7" w14:textId="77777777" w:rsidTr="00F130A5">
        <w:trPr>
          <w:trHeight w:val="255"/>
          <w:jc w:val="center"/>
        </w:trPr>
        <w:tc>
          <w:tcPr>
            <w:tcW w:w="1256" w:type="dxa"/>
            <w:noWrap/>
            <w:vAlign w:val="bottom"/>
          </w:tcPr>
          <w:p w14:paraId="62B4AC79"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1276</w:t>
            </w:r>
          </w:p>
        </w:tc>
        <w:tc>
          <w:tcPr>
            <w:tcW w:w="1144" w:type="dxa"/>
            <w:noWrap/>
            <w:vAlign w:val="bottom"/>
          </w:tcPr>
          <w:p w14:paraId="48498416"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1640</w:t>
            </w:r>
          </w:p>
        </w:tc>
        <w:tc>
          <w:tcPr>
            <w:tcW w:w="954" w:type="dxa"/>
            <w:noWrap/>
            <w:vAlign w:val="bottom"/>
          </w:tcPr>
          <w:p w14:paraId="475D0992"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5</w:t>
            </w:r>
          </w:p>
        </w:tc>
        <w:tc>
          <w:tcPr>
            <w:tcW w:w="1446" w:type="dxa"/>
            <w:noWrap/>
            <w:vAlign w:val="bottom"/>
          </w:tcPr>
          <w:p w14:paraId="57450E1D"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1460</w:t>
            </w:r>
          </w:p>
        </w:tc>
      </w:tr>
      <w:tr w:rsidR="00DC17E7" w:rsidRPr="00653E80" w14:paraId="334F4659" w14:textId="77777777" w:rsidTr="00F130A5">
        <w:trPr>
          <w:trHeight w:val="255"/>
          <w:jc w:val="center"/>
        </w:trPr>
        <w:tc>
          <w:tcPr>
            <w:tcW w:w="1256" w:type="dxa"/>
            <w:noWrap/>
            <w:vAlign w:val="bottom"/>
          </w:tcPr>
          <w:p w14:paraId="720C28C2"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1641</w:t>
            </w:r>
          </w:p>
        </w:tc>
        <w:tc>
          <w:tcPr>
            <w:tcW w:w="1144" w:type="dxa"/>
            <w:noWrap/>
            <w:vAlign w:val="bottom"/>
          </w:tcPr>
          <w:p w14:paraId="57848985"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2190</w:t>
            </w:r>
          </w:p>
        </w:tc>
        <w:tc>
          <w:tcPr>
            <w:tcW w:w="954" w:type="dxa"/>
            <w:noWrap/>
            <w:vAlign w:val="bottom"/>
          </w:tcPr>
          <w:p w14:paraId="129C94A7"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6</w:t>
            </w:r>
          </w:p>
        </w:tc>
        <w:tc>
          <w:tcPr>
            <w:tcW w:w="1446" w:type="dxa"/>
            <w:noWrap/>
            <w:vAlign w:val="bottom"/>
          </w:tcPr>
          <w:p w14:paraId="1BFF7C46"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1825</w:t>
            </w:r>
          </w:p>
        </w:tc>
      </w:tr>
      <w:tr w:rsidR="00DC17E7" w:rsidRPr="00653E80" w14:paraId="01E91E4C" w14:textId="77777777" w:rsidTr="00F130A5">
        <w:trPr>
          <w:trHeight w:val="255"/>
          <w:jc w:val="center"/>
        </w:trPr>
        <w:tc>
          <w:tcPr>
            <w:tcW w:w="1256" w:type="dxa"/>
            <w:noWrap/>
            <w:vAlign w:val="bottom"/>
          </w:tcPr>
          <w:p w14:paraId="034A91A9"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2191</w:t>
            </w:r>
          </w:p>
        </w:tc>
        <w:tc>
          <w:tcPr>
            <w:tcW w:w="1144" w:type="dxa"/>
            <w:noWrap/>
            <w:vAlign w:val="bottom"/>
          </w:tcPr>
          <w:p w14:paraId="5EC2C541"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2920</w:t>
            </w:r>
          </w:p>
        </w:tc>
        <w:tc>
          <w:tcPr>
            <w:tcW w:w="954" w:type="dxa"/>
            <w:noWrap/>
            <w:vAlign w:val="bottom"/>
          </w:tcPr>
          <w:p w14:paraId="711625AE"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7</w:t>
            </w:r>
          </w:p>
        </w:tc>
        <w:tc>
          <w:tcPr>
            <w:tcW w:w="1446" w:type="dxa"/>
            <w:noWrap/>
            <w:vAlign w:val="bottom"/>
          </w:tcPr>
          <w:p w14:paraId="79B07799"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2555</w:t>
            </w:r>
          </w:p>
        </w:tc>
      </w:tr>
      <w:tr w:rsidR="00DC17E7" w:rsidRPr="00653E80" w14:paraId="4AED8FFD" w14:textId="77777777" w:rsidTr="00F130A5">
        <w:trPr>
          <w:trHeight w:val="255"/>
          <w:jc w:val="center"/>
        </w:trPr>
        <w:tc>
          <w:tcPr>
            <w:tcW w:w="1256" w:type="dxa"/>
            <w:noWrap/>
            <w:vAlign w:val="bottom"/>
          </w:tcPr>
          <w:p w14:paraId="673C0ADF"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2921</w:t>
            </w:r>
          </w:p>
        </w:tc>
        <w:tc>
          <w:tcPr>
            <w:tcW w:w="1144" w:type="dxa"/>
            <w:noWrap/>
            <w:vAlign w:val="bottom"/>
          </w:tcPr>
          <w:p w14:paraId="0579EEE0"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3650</w:t>
            </w:r>
          </w:p>
        </w:tc>
        <w:tc>
          <w:tcPr>
            <w:tcW w:w="954" w:type="dxa"/>
            <w:noWrap/>
            <w:vAlign w:val="bottom"/>
          </w:tcPr>
          <w:p w14:paraId="31CDB409"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8</w:t>
            </w:r>
          </w:p>
        </w:tc>
        <w:tc>
          <w:tcPr>
            <w:tcW w:w="1446" w:type="dxa"/>
            <w:noWrap/>
            <w:vAlign w:val="bottom"/>
          </w:tcPr>
          <w:p w14:paraId="3B807AA3"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3285</w:t>
            </w:r>
          </w:p>
        </w:tc>
      </w:tr>
      <w:tr w:rsidR="00DC17E7" w:rsidRPr="00653E80" w14:paraId="14EA2F29" w14:textId="77777777" w:rsidTr="00F130A5">
        <w:trPr>
          <w:trHeight w:val="255"/>
          <w:jc w:val="center"/>
        </w:trPr>
        <w:tc>
          <w:tcPr>
            <w:tcW w:w="1256" w:type="dxa"/>
            <w:noWrap/>
            <w:vAlign w:val="bottom"/>
          </w:tcPr>
          <w:p w14:paraId="16B9AF69"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3651</w:t>
            </w:r>
          </w:p>
        </w:tc>
        <w:tc>
          <w:tcPr>
            <w:tcW w:w="1144" w:type="dxa"/>
            <w:noWrap/>
            <w:vAlign w:val="bottom"/>
          </w:tcPr>
          <w:p w14:paraId="6C8B0218"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w:t>
            </w:r>
          </w:p>
        </w:tc>
        <w:tc>
          <w:tcPr>
            <w:tcW w:w="954" w:type="dxa"/>
            <w:noWrap/>
            <w:vAlign w:val="bottom"/>
          </w:tcPr>
          <w:p w14:paraId="2BDC4057"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9</w:t>
            </w:r>
          </w:p>
        </w:tc>
        <w:tc>
          <w:tcPr>
            <w:tcW w:w="1446" w:type="dxa"/>
            <w:noWrap/>
            <w:vAlign w:val="bottom"/>
          </w:tcPr>
          <w:p w14:paraId="3B9D198E" w14:textId="77777777" w:rsidR="00DC17E7" w:rsidRPr="0070479A" w:rsidRDefault="00DC17E7" w:rsidP="0070479A">
            <w:pPr>
              <w:spacing w:after="0" w:line="240" w:lineRule="auto"/>
              <w:jc w:val="center"/>
              <w:rPr>
                <w:rFonts w:ascii="Verdana" w:eastAsia="Times New Roman" w:hAnsi="Verdana" w:cs="Arial"/>
                <w:color w:val="000000"/>
                <w:kern w:val="0"/>
                <w:sz w:val="16"/>
                <w:szCs w:val="16"/>
                <w:lang w:eastAsia="es-CO"/>
                <w14:ligatures w14:val="none"/>
              </w:rPr>
            </w:pPr>
            <w:r w:rsidRPr="0070479A">
              <w:rPr>
                <w:rFonts w:ascii="Verdana" w:eastAsia="Times New Roman" w:hAnsi="Verdana" w:cs="Arial"/>
                <w:color w:val="000000"/>
                <w:kern w:val="0"/>
                <w:sz w:val="16"/>
                <w:szCs w:val="16"/>
                <w:lang w:eastAsia="es-CO"/>
                <w14:ligatures w14:val="none"/>
              </w:rPr>
              <w:t>5475</w:t>
            </w:r>
          </w:p>
        </w:tc>
      </w:tr>
    </w:tbl>
    <w:p w14:paraId="771FF1D0"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1F8CA210" w14:textId="190027D9"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1B26CE">
        <w:rPr>
          <w:rFonts w:ascii="Verdana" w:hAnsi="Verdana"/>
          <w:sz w:val="20"/>
          <w:szCs w:val="20"/>
        </w:rPr>
        <w:t>49</w:t>
      </w:r>
      <w:r w:rsidRPr="000E0B7B">
        <w:rPr>
          <w:rFonts w:ascii="Verdana" w:hAnsi="Verdana"/>
          <w:sz w:val="20"/>
          <w:szCs w:val="20"/>
        </w:rPr>
        <w:t>.</w:t>
      </w:r>
    </w:p>
    <w:p w14:paraId="7132100F"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Por ejemplo, para un flujo que se encuentra entre 0 y 180 días al vencimiento, el nodo asignado será el nodo 1 (180 días al vencimiento), mientras que, para un flujo con 890 días al vencimiento, el nodo asociado al mismo será el 3 (730 días al vencimiento). Esta asignación de nodos será la que permita calcular la exposición total de cada título.</w:t>
      </w:r>
    </w:p>
    <w:p w14:paraId="289EFDE5"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p>
    <w:p w14:paraId="767F0A23" w14:textId="37CB2863"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392072">
        <w:rPr>
          <w:rFonts w:ascii="Verdana" w:hAnsi="Verdana"/>
          <w:sz w:val="20"/>
          <w:szCs w:val="20"/>
        </w:rPr>
        <w:t>5</w:t>
      </w:r>
      <w:r w:rsidR="001B26CE">
        <w:rPr>
          <w:rFonts w:ascii="Verdana" w:hAnsi="Verdana"/>
          <w:sz w:val="20"/>
          <w:szCs w:val="20"/>
        </w:rPr>
        <w:t>0</w:t>
      </w:r>
      <w:r w:rsidRPr="000E0B7B">
        <w:rPr>
          <w:rFonts w:ascii="Verdana" w:hAnsi="Verdana"/>
          <w:sz w:val="20"/>
          <w:szCs w:val="20"/>
        </w:rPr>
        <w:t>.</w:t>
      </w:r>
    </w:p>
    <w:p w14:paraId="02B4D9A7" w14:textId="77777777" w:rsidR="00DC17E7" w:rsidRPr="00653E80" w:rsidRDefault="00DC17E7" w:rsidP="00DC17E7">
      <w:pPr>
        <w:spacing w:after="0" w:line="240" w:lineRule="auto"/>
        <w:jc w:val="both"/>
        <w:rPr>
          <w:rFonts w:ascii="Verdana" w:eastAsia="Times New Roman" w:hAnsi="Verdana" w:cs="Arial"/>
          <w:sz w:val="20"/>
          <w:szCs w:val="20"/>
          <w:lang w:val="es-ES" w:eastAsia="es-ES"/>
        </w:rPr>
      </w:pPr>
      <w:r w:rsidRPr="00653E80">
        <w:rPr>
          <w:rFonts w:ascii="Verdana" w:eastAsia="Times New Roman" w:hAnsi="Verdana" w:cs="Arial"/>
          <w:sz w:val="20"/>
          <w:szCs w:val="20"/>
          <w:lang w:val="es-ES" w:eastAsia="es-ES"/>
        </w:rPr>
        <w:t xml:space="preserve">Posterior a la asignación de nodo para cada flujo del título o valor, se debe calcular el valor presente del mismo, utilizado como tasa de descuento, la tasa cero cupón del flujo y el margen correspondiente suministrados por el proveedor de precios para valoración designado como oficial para el segmento correspondiente. En el caso de la curva de tesoros de los Estados Unidos, cuando los días al vencimiento del flujo no estén contemplados dentro de los nodos publicados por Bloomberg (Curva Cero Cupón </w:t>
      </w:r>
      <w:proofErr w:type="spellStart"/>
      <w:r w:rsidRPr="00653E80">
        <w:rPr>
          <w:rFonts w:ascii="Verdana" w:eastAsia="Times New Roman" w:hAnsi="Verdana" w:cs="Arial"/>
          <w:i/>
          <w:iCs/>
          <w:sz w:val="20"/>
          <w:szCs w:val="20"/>
          <w:lang w:val="es-ES" w:eastAsia="es-ES"/>
        </w:rPr>
        <w:t>on</w:t>
      </w:r>
      <w:proofErr w:type="spellEnd"/>
      <w:r w:rsidRPr="00653E80">
        <w:rPr>
          <w:rFonts w:ascii="Verdana" w:eastAsia="Times New Roman" w:hAnsi="Verdana" w:cs="Arial"/>
          <w:i/>
          <w:iCs/>
          <w:sz w:val="20"/>
          <w:szCs w:val="20"/>
          <w:lang w:val="es-ES" w:eastAsia="es-ES"/>
        </w:rPr>
        <w:t xml:space="preserve"> </w:t>
      </w:r>
      <w:proofErr w:type="spellStart"/>
      <w:r w:rsidRPr="00653E80">
        <w:rPr>
          <w:rFonts w:ascii="Verdana" w:eastAsia="Times New Roman" w:hAnsi="Verdana" w:cs="Arial"/>
          <w:i/>
          <w:iCs/>
          <w:sz w:val="20"/>
          <w:szCs w:val="20"/>
          <w:lang w:val="es-ES" w:eastAsia="es-ES"/>
        </w:rPr>
        <w:t>the</w:t>
      </w:r>
      <w:proofErr w:type="spellEnd"/>
      <w:r w:rsidRPr="00653E80">
        <w:rPr>
          <w:rFonts w:ascii="Verdana" w:eastAsia="Times New Roman" w:hAnsi="Verdana" w:cs="Arial"/>
          <w:i/>
          <w:iCs/>
          <w:sz w:val="20"/>
          <w:szCs w:val="20"/>
          <w:lang w:val="es-ES" w:eastAsia="es-ES"/>
        </w:rPr>
        <w:t xml:space="preserve"> run</w:t>
      </w:r>
      <w:r w:rsidRPr="00653E80">
        <w:rPr>
          <w:rFonts w:ascii="Verdana" w:eastAsia="Times New Roman" w:hAnsi="Verdana" w:cs="Arial"/>
          <w:sz w:val="20"/>
          <w:szCs w:val="20"/>
          <w:lang w:val="es-ES" w:eastAsia="es-ES"/>
        </w:rPr>
        <w:t>) la entidad debe encontrar una aproximación a dicha tasa a través de interpolaciones de las tasas publicadas.</w:t>
      </w:r>
    </w:p>
    <w:p w14:paraId="6F0E95BC" w14:textId="77777777" w:rsidR="00DC17E7" w:rsidRDefault="00DC17E7" w:rsidP="00DC17E7">
      <w:pPr>
        <w:spacing w:after="0" w:line="240" w:lineRule="auto"/>
        <w:jc w:val="both"/>
        <w:rPr>
          <w:rFonts w:ascii="Verdana" w:eastAsia="Times New Roman" w:hAnsi="Verdana" w:cs="Arial"/>
          <w:sz w:val="20"/>
          <w:szCs w:val="20"/>
          <w:lang w:val="es-ES" w:eastAsia="es-ES"/>
        </w:rPr>
      </w:pPr>
    </w:p>
    <w:p w14:paraId="1D9344BD" w14:textId="6265D678"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5</w:t>
      </w:r>
      <w:r w:rsidR="001B26CE">
        <w:rPr>
          <w:rFonts w:ascii="Verdana" w:hAnsi="Verdana"/>
          <w:sz w:val="20"/>
          <w:szCs w:val="20"/>
        </w:rPr>
        <w:t>1</w:t>
      </w:r>
      <w:r w:rsidRPr="000E0B7B">
        <w:rPr>
          <w:rFonts w:ascii="Verdana" w:hAnsi="Verdana"/>
          <w:sz w:val="20"/>
          <w:szCs w:val="20"/>
        </w:rPr>
        <w:t>.</w:t>
      </w:r>
    </w:p>
    <w:p w14:paraId="35C0BF62" w14:textId="1AB07A51" w:rsidR="00DC17E7" w:rsidRDefault="00FD7F1B" w:rsidP="00DC17E7">
      <w:pPr>
        <w:spacing w:after="0" w:line="240" w:lineRule="auto"/>
        <w:jc w:val="both"/>
        <w:rPr>
          <w:rFonts w:ascii="Verdana" w:eastAsia="Times New Roman" w:hAnsi="Verdana" w:cs="Arial"/>
          <w:sz w:val="20"/>
          <w:szCs w:val="20"/>
          <w:lang w:val="es-ES" w:eastAsia="es-ES"/>
        </w:rPr>
      </w:pPr>
      <w:r>
        <w:rPr>
          <w:rFonts w:ascii="Verdana" w:eastAsia="Times New Roman" w:hAnsi="Verdana" w:cs="Arial"/>
          <w:sz w:val="20"/>
          <w:szCs w:val="20"/>
          <w:lang w:val="es-ES" w:eastAsia="es-ES"/>
        </w:rPr>
        <w:t>Una vez c</w:t>
      </w:r>
      <w:r w:rsidR="00DC17E7" w:rsidRPr="00653E80">
        <w:rPr>
          <w:rFonts w:ascii="Verdana" w:eastAsia="Times New Roman" w:hAnsi="Verdana" w:cs="Arial"/>
          <w:sz w:val="20"/>
          <w:szCs w:val="20"/>
          <w:lang w:val="es-ES" w:eastAsia="es-ES"/>
        </w:rPr>
        <w:t xml:space="preserve">alculado el valor presente del flujo del título o valor, éste </w:t>
      </w:r>
      <w:r w:rsidR="00591C01">
        <w:rPr>
          <w:rFonts w:ascii="Verdana" w:eastAsia="Times New Roman" w:hAnsi="Verdana" w:cs="Arial"/>
          <w:sz w:val="20"/>
          <w:szCs w:val="20"/>
          <w:lang w:val="es-ES" w:eastAsia="es-ES"/>
        </w:rPr>
        <w:t xml:space="preserve">se </w:t>
      </w:r>
      <w:r w:rsidR="00DC17E7" w:rsidRPr="00653E80">
        <w:rPr>
          <w:rFonts w:ascii="Verdana" w:eastAsia="Times New Roman" w:hAnsi="Verdana" w:cs="Arial"/>
          <w:sz w:val="20"/>
          <w:szCs w:val="20"/>
          <w:lang w:val="es-ES" w:eastAsia="es-ES"/>
        </w:rPr>
        <w:t>debe multiplicar</w:t>
      </w:r>
      <w:r w:rsidR="00591C01">
        <w:rPr>
          <w:rFonts w:ascii="Verdana" w:eastAsia="Times New Roman" w:hAnsi="Verdana" w:cs="Arial"/>
          <w:sz w:val="20"/>
          <w:szCs w:val="20"/>
          <w:lang w:val="es-ES" w:eastAsia="es-ES"/>
        </w:rPr>
        <w:t xml:space="preserve"> </w:t>
      </w:r>
      <w:r w:rsidR="00DC17E7" w:rsidRPr="00653E80">
        <w:rPr>
          <w:rFonts w:ascii="Verdana" w:eastAsia="Times New Roman" w:hAnsi="Verdana" w:cs="Arial"/>
          <w:sz w:val="20"/>
          <w:szCs w:val="20"/>
          <w:lang w:val="es-ES" w:eastAsia="es-ES"/>
        </w:rPr>
        <w:t>por la duración modificada del flujo</w:t>
      </w:r>
      <w:r w:rsidR="006B23B1">
        <w:rPr>
          <w:rFonts w:ascii="Verdana" w:eastAsia="Times New Roman" w:hAnsi="Verdana" w:cs="Arial"/>
          <w:sz w:val="20"/>
          <w:szCs w:val="20"/>
          <w:lang w:val="es-ES" w:eastAsia="es-ES"/>
        </w:rPr>
        <w:t xml:space="preserve">, entendida </w:t>
      </w:r>
      <w:r w:rsidR="00DC17E7" w:rsidRPr="00653E80">
        <w:rPr>
          <w:rFonts w:ascii="Verdana" w:eastAsia="Times New Roman" w:hAnsi="Verdana" w:cs="Arial"/>
          <w:sz w:val="20"/>
          <w:szCs w:val="20"/>
          <w:lang w:val="es-ES" w:eastAsia="es-ES"/>
        </w:rPr>
        <w:t xml:space="preserve">como el tiempo anual al vencimiento descontado </w:t>
      </w:r>
      <w:r w:rsidR="00CA39D0">
        <w:rPr>
          <w:rFonts w:ascii="Verdana" w:eastAsia="Times New Roman" w:hAnsi="Verdana" w:cs="Arial"/>
          <w:sz w:val="20"/>
          <w:szCs w:val="20"/>
          <w:lang w:val="es-ES" w:eastAsia="es-ES"/>
        </w:rPr>
        <w:t xml:space="preserve">mediante la </w:t>
      </w:r>
      <w:r w:rsidR="00DC17E7" w:rsidRPr="00653E80">
        <w:rPr>
          <w:rFonts w:ascii="Verdana" w:eastAsia="Times New Roman" w:hAnsi="Verdana" w:cs="Arial"/>
          <w:sz w:val="20"/>
          <w:szCs w:val="20"/>
          <w:lang w:val="es-ES" w:eastAsia="es-ES"/>
        </w:rPr>
        <w:t xml:space="preserve">correspondiente tasa </w:t>
      </w:r>
      <w:proofErr w:type="gramStart"/>
      <w:r w:rsidR="00DC17E7" w:rsidRPr="00653E80">
        <w:rPr>
          <w:rFonts w:ascii="Verdana" w:eastAsia="Times New Roman" w:hAnsi="Verdana" w:cs="Arial"/>
          <w:sz w:val="20"/>
          <w:szCs w:val="20"/>
          <w:lang w:val="es-ES" w:eastAsia="es-ES"/>
        </w:rPr>
        <w:t>cero cupón</w:t>
      </w:r>
      <w:proofErr w:type="gramEnd"/>
      <w:r w:rsidR="0083428E">
        <w:rPr>
          <w:rFonts w:ascii="Verdana" w:eastAsia="Times New Roman" w:hAnsi="Verdana" w:cs="Arial"/>
          <w:sz w:val="20"/>
          <w:szCs w:val="20"/>
          <w:lang w:val="es-ES" w:eastAsia="es-ES"/>
        </w:rPr>
        <w:t>,</w:t>
      </w:r>
      <w:r w:rsidR="00DC17E7" w:rsidRPr="00653E80">
        <w:rPr>
          <w:rFonts w:ascii="Verdana" w:eastAsia="Times New Roman" w:hAnsi="Verdana" w:cs="Arial"/>
          <w:sz w:val="20"/>
          <w:szCs w:val="20"/>
          <w:lang w:val="es-ES" w:eastAsia="es-ES"/>
        </w:rPr>
        <w:t xml:space="preserve"> </w:t>
      </w:r>
      <w:r w:rsidR="007049B8">
        <w:rPr>
          <w:rFonts w:ascii="Verdana" w:eastAsia="Times New Roman" w:hAnsi="Verdana" w:cs="Arial"/>
          <w:sz w:val="20"/>
          <w:szCs w:val="20"/>
          <w:lang w:val="es-ES" w:eastAsia="es-ES"/>
        </w:rPr>
        <w:t xml:space="preserve">aplicable </w:t>
      </w:r>
      <w:r w:rsidR="00CA39D0">
        <w:rPr>
          <w:rFonts w:ascii="Verdana" w:eastAsia="Times New Roman" w:hAnsi="Verdana" w:cs="Arial"/>
          <w:sz w:val="20"/>
          <w:szCs w:val="20"/>
          <w:lang w:val="es-ES" w:eastAsia="es-ES"/>
        </w:rPr>
        <w:t xml:space="preserve">al </w:t>
      </w:r>
      <w:r w:rsidR="00DC17E7" w:rsidRPr="00653E80">
        <w:rPr>
          <w:rFonts w:ascii="Verdana" w:eastAsia="Times New Roman" w:hAnsi="Verdana" w:cs="Arial"/>
          <w:sz w:val="20"/>
          <w:szCs w:val="20"/>
          <w:lang w:val="es-ES" w:eastAsia="es-ES"/>
        </w:rPr>
        <w:t>vencimiento del flujo. Por último, se deben sumar los flujos correspondientes a cada nodo asignado, con el fin de hallar la exposición total de cada nodo.</w:t>
      </w:r>
    </w:p>
    <w:p w14:paraId="26018E18" w14:textId="77777777" w:rsidR="00490CD4" w:rsidRPr="00653E80" w:rsidRDefault="00490CD4" w:rsidP="00DC17E7">
      <w:pPr>
        <w:spacing w:after="0" w:line="240" w:lineRule="auto"/>
        <w:jc w:val="both"/>
        <w:rPr>
          <w:rFonts w:ascii="Verdana" w:eastAsia="Times New Roman" w:hAnsi="Verdana" w:cs="Arial"/>
          <w:sz w:val="20"/>
          <w:szCs w:val="20"/>
          <w:lang w:val="es-ES" w:eastAsia="es-ES"/>
        </w:rPr>
      </w:pPr>
    </w:p>
    <w:p w14:paraId="7B6B3E19" w14:textId="439A4127" w:rsidR="00DC17E7" w:rsidRPr="00653E80" w:rsidRDefault="00D556B2" w:rsidP="00DC17E7">
      <w:pPr>
        <w:spacing w:after="0" w:line="240" w:lineRule="auto"/>
        <w:jc w:val="both"/>
        <w:rPr>
          <w:rFonts w:ascii="Verdana" w:hAnsi="Verdana" w:cs="Arial"/>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EN</m:t>
              </m:r>
            </m:e>
            <m:sub>
              <m:r>
                <w:rPr>
                  <w:rFonts w:ascii="Cambria Math" w:hAnsi="Cambria Math" w:cs="Arial"/>
                  <w:sz w:val="20"/>
                  <w:szCs w:val="20"/>
                  <w:lang w:val="es-MX"/>
                </w:rPr>
                <m:t>ki</m:t>
              </m:r>
            </m:sub>
          </m:sSub>
          <m:r>
            <w:rPr>
              <w:rFonts w:ascii="Cambria Math" w:hAnsi="Cambria Math" w:cs="Arial"/>
              <w:sz w:val="20"/>
              <w:szCs w:val="20"/>
              <w:lang w:val="es-MX"/>
            </w:rPr>
            <m:t>=</m:t>
          </m:r>
          <m:nary>
            <m:naryPr>
              <m:chr m:val="∑"/>
              <m:limLoc m:val="undOvr"/>
              <m:ctrlPr>
                <w:rPr>
                  <w:rFonts w:ascii="Cambria Math" w:hAnsi="Cambria Math" w:cs="Arial"/>
                  <w:i/>
                  <w:sz w:val="20"/>
                  <w:szCs w:val="20"/>
                  <w:lang w:val="es-MX"/>
                </w:rPr>
              </m:ctrlPr>
            </m:naryPr>
            <m:sub>
              <m:r>
                <w:rPr>
                  <w:rFonts w:ascii="Cambria Math" w:hAnsi="Cambria Math" w:cs="Arial"/>
                  <w:sz w:val="20"/>
                  <w:szCs w:val="20"/>
                  <w:lang w:val="es-MX"/>
                </w:rPr>
                <m:t>n</m:t>
              </m:r>
              <m:r>
                <w:rPr>
                  <w:rFonts w:ascii="Cambria Math" w:hAnsi="Cambria Math" w:cs="Arial"/>
                  <w:sz w:val="20"/>
                  <w:szCs w:val="20"/>
                  <w:lang w:val="es-MX"/>
                </w:rPr>
                <m:t>=1</m:t>
              </m:r>
            </m:sub>
            <m:sup>
              <m:r>
                <w:rPr>
                  <w:rFonts w:ascii="Cambria Math" w:hAnsi="Cambria Math" w:cs="Arial"/>
                  <w:sz w:val="20"/>
                  <w:szCs w:val="20"/>
                  <w:lang w:val="es-MX"/>
                </w:rPr>
                <m:t>N</m:t>
              </m:r>
            </m:sup>
            <m:e>
              <m:sSub>
                <m:sSubPr>
                  <m:ctrlPr>
                    <w:rPr>
                      <w:rFonts w:ascii="Cambria Math" w:hAnsi="Cambria Math" w:cs="Arial"/>
                      <w:i/>
                      <w:sz w:val="20"/>
                      <w:szCs w:val="20"/>
                      <w:lang w:val="es-MX"/>
                    </w:rPr>
                  </m:ctrlPr>
                </m:sSubPr>
                <m:e>
                  <m:r>
                    <w:rPr>
                      <w:rFonts w:ascii="Cambria Math" w:hAnsi="Cambria Math" w:cs="Arial"/>
                      <w:sz w:val="20"/>
                      <w:szCs w:val="20"/>
                      <w:lang w:val="es-MX"/>
                    </w:rPr>
                    <m:t>VPF</m:t>
                  </m:r>
                </m:e>
                <m:sub>
                  <m:r>
                    <w:rPr>
                      <w:rFonts w:ascii="Cambria Math" w:hAnsi="Cambria Math" w:cs="Arial"/>
                      <w:sz w:val="20"/>
                      <w:szCs w:val="20"/>
                      <w:lang w:val="es-MX"/>
                    </w:rPr>
                    <m:t>n</m:t>
                  </m:r>
                </m:sub>
              </m:sSub>
              <m:r>
                <w:rPr>
                  <w:rFonts w:ascii="Cambria Math" w:hAnsi="Cambria Math" w:cs="Arial"/>
                  <w:sz w:val="20"/>
                  <w:szCs w:val="20"/>
                  <w:lang w:val="es-MX"/>
                </w:rPr>
                <m:t>*</m:t>
              </m:r>
              <m:sSub>
                <m:sSubPr>
                  <m:ctrlPr>
                    <w:rPr>
                      <w:rFonts w:ascii="Cambria Math" w:hAnsi="Cambria Math" w:cs="Arial"/>
                      <w:i/>
                      <w:sz w:val="20"/>
                      <w:szCs w:val="20"/>
                      <w:lang w:val="es-MX"/>
                    </w:rPr>
                  </m:ctrlPr>
                </m:sSubPr>
                <m:e>
                  <m:r>
                    <w:rPr>
                      <w:rFonts w:ascii="Cambria Math" w:hAnsi="Cambria Math" w:cs="Arial"/>
                      <w:sz w:val="20"/>
                      <w:szCs w:val="20"/>
                      <w:lang w:val="es-MX"/>
                    </w:rPr>
                    <m:t>DM</m:t>
                  </m:r>
                </m:e>
                <m:sub>
                  <m:r>
                    <w:rPr>
                      <w:rFonts w:ascii="Cambria Math" w:hAnsi="Cambria Math" w:cs="Arial"/>
                      <w:sz w:val="20"/>
                      <w:szCs w:val="20"/>
                      <w:lang w:val="es-MX"/>
                    </w:rPr>
                    <m:t>n</m:t>
                  </m:r>
                </m:sub>
              </m:sSub>
            </m:e>
          </m:nary>
        </m:oMath>
      </m:oMathPara>
    </w:p>
    <w:p w14:paraId="5C3A46DB" w14:textId="77777777" w:rsidR="00DC17E7" w:rsidRPr="00653E80" w:rsidRDefault="00DC17E7" w:rsidP="00DC17E7">
      <w:pPr>
        <w:spacing w:after="0" w:line="240" w:lineRule="auto"/>
        <w:jc w:val="both"/>
        <w:rPr>
          <w:rFonts w:ascii="Verdana" w:hAnsi="Verdana" w:cs="Arial"/>
          <w:sz w:val="20"/>
          <w:szCs w:val="20"/>
          <w:lang w:val="es-MX"/>
        </w:rPr>
      </w:pPr>
    </w:p>
    <w:p w14:paraId="42BD307A" w14:textId="77777777" w:rsidR="00DC17E7" w:rsidRPr="00653E80" w:rsidRDefault="00DC17E7" w:rsidP="00DC17E7">
      <w:pPr>
        <w:spacing w:after="0" w:line="240" w:lineRule="auto"/>
        <w:jc w:val="both"/>
        <w:rPr>
          <w:rFonts w:ascii="Verdana" w:hAnsi="Verdana" w:cs="Arial"/>
          <w:sz w:val="20"/>
          <w:szCs w:val="20"/>
          <w:lang w:val="es-MX"/>
        </w:rPr>
      </w:pPr>
      <w:r w:rsidRPr="00653E80">
        <w:rPr>
          <w:rFonts w:ascii="Verdana" w:hAnsi="Verdana" w:cs="Arial"/>
          <w:sz w:val="20"/>
          <w:szCs w:val="20"/>
          <w:lang w:val="es-MX"/>
        </w:rPr>
        <w:t>Donde:</w:t>
      </w:r>
    </w:p>
    <w:p w14:paraId="292D1DFA" w14:textId="77777777" w:rsidR="0010283F" w:rsidRDefault="0010283F" w:rsidP="00DC17E7">
      <w:pPr>
        <w:spacing w:after="0" w:line="240" w:lineRule="auto"/>
        <w:jc w:val="both"/>
        <w:rPr>
          <w:rFonts w:ascii="Verdana" w:hAnsi="Verdana" w:cs="Arial"/>
          <w:noProof/>
          <w:sz w:val="20"/>
          <w:szCs w:val="20"/>
        </w:rPr>
      </w:pPr>
    </w:p>
    <w:p w14:paraId="6EF987E4" w14:textId="79AC12D1" w:rsidR="00DC17E7" w:rsidRPr="0010283F" w:rsidRDefault="00D556B2" w:rsidP="00DC17E7">
      <w:pPr>
        <w:spacing w:after="0" w:line="240" w:lineRule="auto"/>
        <w:jc w:val="both"/>
        <w:rPr>
          <w:rFonts w:ascii="Verdana" w:hAnsi="Verdana" w:cs="Arial"/>
          <w:noProof/>
          <w:sz w:val="20"/>
          <w:szCs w:val="20"/>
        </w:rPr>
      </w:pPr>
      <m:oMath>
        <m:sSub>
          <m:sSubPr>
            <m:ctrlPr>
              <w:rPr>
                <w:rFonts w:ascii="Cambria Math" w:hAnsi="Cambria Math" w:cs="Arial"/>
                <w:i/>
                <w:sz w:val="20"/>
                <w:szCs w:val="20"/>
                <w:lang w:val="es-MX"/>
              </w:rPr>
            </m:ctrlPr>
          </m:sSubPr>
          <m:e>
            <m:r>
              <w:rPr>
                <w:rFonts w:ascii="Cambria Math" w:hAnsi="Cambria Math" w:cs="Arial"/>
                <w:sz w:val="20"/>
                <w:szCs w:val="20"/>
                <w:lang w:val="es-MX"/>
              </w:rPr>
              <m:t>EN</m:t>
            </m:r>
          </m:e>
          <m:sub>
            <m:r>
              <w:rPr>
                <w:rFonts w:ascii="Cambria Math" w:hAnsi="Cambria Math" w:cs="Arial"/>
                <w:sz w:val="20"/>
                <w:szCs w:val="20"/>
                <w:lang w:val="es-MX"/>
              </w:rPr>
              <m:t>ki</m:t>
            </m:r>
          </m:sub>
        </m:sSub>
      </m:oMath>
      <w:r w:rsidR="0010283F">
        <w:rPr>
          <w:rFonts w:ascii="Verdana" w:eastAsiaTheme="minorEastAsia" w:hAnsi="Verdana" w:cs="Arial"/>
          <w:noProof/>
          <w:sz w:val="20"/>
          <w:szCs w:val="20"/>
          <w:lang w:val="es-MX"/>
        </w:rPr>
        <w:t>:</w:t>
      </w:r>
      <w:r w:rsidR="0010283F">
        <w:rPr>
          <w:rFonts w:ascii="Verdana" w:hAnsi="Verdana" w:cs="Arial"/>
          <w:noProof/>
          <w:sz w:val="20"/>
          <w:szCs w:val="20"/>
          <w:lang w:val="es-MX"/>
        </w:rPr>
        <w:t xml:space="preserve"> es la </w:t>
      </w:r>
      <w:r w:rsidR="0010283F">
        <w:rPr>
          <w:rFonts w:ascii="Verdana" w:hAnsi="Verdana" w:cs="Arial"/>
          <w:sz w:val="20"/>
          <w:szCs w:val="20"/>
          <w:lang w:val="es-MX"/>
        </w:rPr>
        <w:t>e</w:t>
      </w:r>
      <w:r w:rsidR="00DC17E7" w:rsidRPr="00653E80">
        <w:rPr>
          <w:rFonts w:ascii="Verdana" w:hAnsi="Verdana" w:cs="Arial"/>
          <w:sz w:val="20"/>
          <w:szCs w:val="20"/>
          <w:lang w:val="es-MX"/>
        </w:rPr>
        <w:t xml:space="preserve">xposición del título o valor k en el nodo i, i = </w:t>
      </w:r>
      <w:proofErr w:type="gramStart"/>
      <w:r w:rsidR="00DC17E7" w:rsidRPr="00653E80">
        <w:rPr>
          <w:rFonts w:ascii="Verdana" w:hAnsi="Verdana" w:cs="Arial"/>
          <w:sz w:val="20"/>
          <w:szCs w:val="20"/>
          <w:lang w:val="es-MX"/>
        </w:rPr>
        <w:t>1,...</w:t>
      </w:r>
      <w:proofErr w:type="gramEnd"/>
      <w:r w:rsidR="00DC17E7" w:rsidRPr="00653E80">
        <w:rPr>
          <w:rFonts w:ascii="Verdana" w:hAnsi="Verdana" w:cs="Arial"/>
          <w:sz w:val="20"/>
          <w:szCs w:val="20"/>
          <w:lang w:val="es-MX"/>
        </w:rPr>
        <w:t>,9</w:t>
      </w:r>
    </w:p>
    <w:p w14:paraId="2A6EAE2F" w14:textId="77777777" w:rsidR="0010283F" w:rsidRDefault="0010283F" w:rsidP="00DC17E7">
      <w:pPr>
        <w:spacing w:after="0" w:line="240" w:lineRule="auto"/>
        <w:jc w:val="both"/>
        <w:rPr>
          <w:rFonts w:ascii="Verdana" w:hAnsi="Verdana" w:cs="Arial"/>
          <w:sz w:val="20"/>
          <w:szCs w:val="20"/>
          <w:lang w:val="es-MX"/>
        </w:rPr>
      </w:pPr>
    </w:p>
    <w:p w14:paraId="55DABB74" w14:textId="12BD57BC" w:rsidR="0010283F" w:rsidRDefault="00D556B2" w:rsidP="00DC17E7">
      <w:pPr>
        <w:spacing w:after="0" w:line="240" w:lineRule="auto"/>
        <w:jc w:val="both"/>
        <w:rPr>
          <w:rFonts w:ascii="Verdana" w:hAnsi="Verdana" w:cs="Arial"/>
          <w:sz w:val="20"/>
          <w:szCs w:val="20"/>
          <w:lang w:val="es-MX"/>
        </w:rPr>
      </w:pPr>
      <m:oMath>
        <m:sSub>
          <m:sSubPr>
            <m:ctrlPr>
              <w:rPr>
                <w:rFonts w:ascii="Cambria Math" w:hAnsi="Cambria Math" w:cs="Arial"/>
                <w:i/>
                <w:sz w:val="20"/>
                <w:szCs w:val="20"/>
                <w:lang w:val="es-MX"/>
              </w:rPr>
            </m:ctrlPr>
          </m:sSubPr>
          <m:e>
            <m:r>
              <w:rPr>
                <w:rFonts w:ascii="Cambria Math" w:hAnsi="Cambria Math" w:cs="Arial"/>
                <w:sz w:val="20"/>
                <w:szCs w:val="20"/>
                <w:lang w:val="es-MX"/>
              </w:rPr>
              <m:t>VPF</m:t>
            </m:r>
          </m:e>
          <m:sub>
            <m:r>
              <w:rPr>
                <w:rFonts w:ascii="Cambria Math" w:hAnsi="Cambria Math" w:cs="Arial"/>
                <w:sz w:val="20"/>
                <w:szCs w:val="20"/>
                <w:lang w:val="es-MX"/>
              </w:rPr>
              <m:t>n</m:t>
            </m:r>
          </m:sub>
        </m:sSub>
      </m:oMath>
      <w:r w:rsidR="0010283F">
        <w:rPr>
          <w:rFonts w:ascii="Verdana" w:eastAsiaTheme="minorEastAsia" w:hAnsi="Verdana" w:cs="Arial"/>
          <w:sz w:val="20"/>
          <w:szCs w:val="20"/>
          <w:lang w:val="es-MX"/>
        </w:rPr>
        <w:t>:</w:t>
      </w:r>
      <w:r w:rsidR="00DC17E7" w:rsidRPr="00653E80">
        <w:rPr>
          <w:rFonts w:ascii="Verdana" w:hAnsi="Verdana" w:cs="Arial"/>
          <w:sz w:val="20"/>
          <w:szCs w:val="20"/>
          <w:lang w:val="es-MX"/>
        </w:rPr>
        <w:tab/>
      </w:r>
      <w:r w:rsidR="0010283F">
        <w:rPr>
          <w:rFonts w:ascii="Verdana" w:hAnsi="Verdana" w:cs="Arial"/>
          <w:sz w:val="20"/>
          <w:szCs w:val="20"/>
          <w:lang w:val="es-MX"/>
        </w:rPr>
        <w:t>es el v</w:t>
      </w:r>
      <w:r w:rsidR="00DC17E7" w:rsidRPr="00653E80">
        <w:rPr>
          <w:rFonts w:ascii="Verdana" w:hAnsi="Verdana" w:cs="Arial"/>
          <w:sz w:val="20"/>
          <w:szCs w:val="20"/>
          <w:lang w:val="es-MX"/>
        </w:rPr>
        <w:t>alor presente del flujo n</w:t>
      </w:r>
    </w:p>
    <w:p w14:paraId="5A7F7F14" w14:textId="77777777" w:rsidR="0010283F" w:rsidRDefault="0010283F" w:rsidP="00DC17E7">
      <w:pPr>
        <w:spacing w:after="0" w:line="240" w:lineRule="auto"/>
        <w:jc w:val="both"/>
        <w:rPr>
          <w:rFonts w:ascii="Verdana" w:hAnsi="Verdana" w:cs="Arial"/>
          <w:sz w:val="20"/>
          <w:szCs w:val="20"/>
          <w:lang w:val="es-MX"/>
        </w:rPr>
      </w:pPr>
    </w:p>
    <w:p w14:paraId="0E98E91F" w14:textId="202A7126" w:rsidR="00DC17E7" w:rsidRPr="00653E80" w:rsidRDefault="00D556B2" w:rsidP="00DC17E7">
      <w:pPr>
        <w:spacing w:after="0" w:line="240" w:lineRule="auto"/>
        <w:jc w:val="both"/>
        <w:rPr>
          <w:rFonts w:ascii="Verdana" w:hAnsi="Verdana" w:cs="Arial"/>
          <w:sz w:val="20"/>
          <w:szCs w:val="20"/>
          <w:lang w:val="es-MX"/>
        </w:rPr>
      </w:pPr>
      <m:oMath>
        <m:sSub>
          <m:sSubPr>
            <m:ctrlPr>
              <w:rPr>
                <w:rFonts w:ascii="Cambria Math" w:hAnsi="Cambria Math" w:cs="Arial"/>
                <w:i/>
                <w:sz w:val="20"/>
                <w:szCs w:val="20"/>
                <w:lang w:val="es-MX"/>
              </w:rPr>
            </m:ctrlPr>
          </m:sSubPr>
          <m:e>
            <m:r>
              <w:rPr>
                <w:rFonts w:ascii="Cambria Math" w:hAnsi="Cambria Math" w:cs="Arial"/>
                <w:sz w:val="20"/>
                <w:szCs w:val="20"/>
                <w:lang w:val="es-MX"/>
              </w:rPr>
              <m:t>DM</m:t>
            </m:r>
          </m:e>
          <m:sub>
            <m:r>
              <w:rPr>
                <w:rFonts w:ascii="Cambria Math" w:hAnsi="Cambria Math" w:cs="Arial"/>
                <w:sz w:val="20"/>
                <w:szCs w:val="20"/>
                <w:lang w:val="es-MX"/>
              </w:rPr>
              <m:t>n</m:t>
            </m:r>
          </m:sub>
        </m:sSub>
      </m:oMath>
      <w:r w:rsidR="0010283F">
        <w:rPr>
          <w:rFonts w:ascii="Verdana" w:eastAsiaTheme="minorEastAsia" w:hAnsi="Verdana" w:cs="Arial"/>
          <w:sz w:val="20"/>
          <w:szCs w:val="20"/>
          <w:lang w:val="es-MX"/>
        </w:rPr>
        <w:t xml:space="preserve">: es la </w:t>
      </w:r>
      <w:r w:rsidR="0010283F">
        <w:rPr>
          <w:rFonts w:ascii="Verdana" w:hAnsi="Verdana" w:cs="Arial"/>
          <w:sz w:val="20"/>
          <w:szCs w:val="20"/>
          <w:lang w:val="es-MX"/>
        </w:rPr>
        <w:t>d</w:t>
      </w:r>
      <w:r w:rsidR="00DC17E7" w:rsidRPr="00653E80">
        <w:rPr>
          <w:rFonts w:ascii="Verdana" w:hAnsi="Verdana" w:cs="Arial"/>
          <w:sz w:val="20"/>
          <w:szCs w:val="20"/>
          <w:lang w:val="es-MX"/>
        </w:rPr>
        <w:t>uración modificada del flujo n</w:t>
      </w:r>
    </w:p>
    <w:p w14:paraId="789C3585" w14:textId="77777777" w:rsidR="003C54E7" w:rsidRDefault="003C54E7" w:rsidP="00DC17E7">
      <w:pPr>
        <w:spacing w:after="0" w:line="240" w:lineRule="auto"/>
        <w:jc w:val="both"/>
        <w:rPr>
          <w:rFonts w:ascii="Verdana" w:hAnsi="Verdana" w:cs="Arial"/>
          <w:sz w:val="20"/>
          <w:szCs w:val="20"/>
          <w:lang w:val="es-MX"/>
        </w:rPr>
      </w:pPr>
    </w:p>
    <w:p w14:paraId="55754CDF" w14:textId="105BE2F8" w:rsidR="00DC17E7" w:rsidRPr="00803468" w:rsidRDefault="00DC17E7" w:rsidP="00B05266">
      <w:pPr>
        <w:pStyle w:val="Prrafodelista"/>
        <w:numPr>
          <w:ilvl w:val="0"/>
          <w:numId w:val="47"/>
        </w:numPr>
        <w:spacing w:after="0" w:line="240" w:lineRule="auto"/>
        <w:ind w:left="567" w:hanging="283"/>
        <w:jc w:val="both"/>
        <w:rPr>
          <w:rFonts w:ascii="Verdana" w:hAnsi="Verdana" w:cs="Arial"/>
          <w:b/>
          <w:bCs/>
          <w:sz w:val="20"/>
          <w:szCs w:val="20"/>
          <w:lang w:val="es-MX"/>
        </w:rPr>
      </w:pPr>
      <w:r w:rsidRPr="00803468">
        <w:rPr>
          <w:rFonts w:ascii="Verdana" w:hAnsi="Verdana" w:cs="Arial"/>
          <w:b/>
          <w:bCs/>
          <w:sz w:val="20"/>
          <w:szCs w:val="20"/>
          <w:lang w:val="es-MX"/>
        </w:rPr>
        <w:t>Mapeo de posiciones indexadas a DTF</w:t>
      </w:r>
      <w:r w:rsidR="00803468">
        <w:rPr>
          <w:rFonts w:ascii="Verdana" w:hAnsi="Verdana" w:cs="Arial"/>
          <w:b/>
          <w:bCs/>
          <w:sz w:val="20"/>
          <w:szCs w:val="20"/>
          <w:lang w:val="es-MX"/>
        </w:rPr>
        <w:t>, IBR</w:t>
      </w:r>
      <w:r w:rsidRPr="00803468">
        <w:rPr>
          <w:rFonts w:ascii="Verdana" w:hAnsi="Verdana" w:cs="Arial"/>
          <w:b/>
          <w:bCs/>
          <w:sz w:val="20"/>
          <w:szCs w:val="20"/>
          <w:lang w:val="es-MX"/>
        </w:rPr>
        <w:t xml:space="preserve"> e IPC.</w:t>
      </w:r>
    </w:p>
    <w:p w14:paraId="1012F0AA" w14:textId="77777777" w:rsidR="00DC17E7" w:rsidRPr="00653E80" w:rsidRDefault="00DC17E7" w:rsidP="00DC17E7">
      <w:pPr>
        <w:spacing w:after="0" w:line="240" w:lineRule="auto"/>
        <w:jc w:val="both"/>
        <w:rPr>
          <w:rFonts w:ascii="Verdana" w:hAnsi="Verdana" w:cs="Arial"/>
          <w:sz w:val="20"/>
          <w:szCs w:val="20"/>
          <w:lang w:val="es-MX"/>
        </w:rPr>
      </w:pPr>
    </w:p>
    <w:p w14:paraId="41A76194" w14:textId="2F80BE12"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5</w:t>
      </w:r>
      <w:r w:rsidR="001B26CE">
        <w:rPr>
          <w:rFonts w:ascii="Verdana" w:hAnsi="Verdana"/>
          <w:sz w:val="20"/>
          <w:szCs w:val="20"/>
        </w:rPr>
        <w:t>2</w:t>
      </w:r>
      <w:r w:rsidRPr="000E0B7B">
        <w:rPr>
          <w:rFonts w:ascii="Verdana" w:hAnsi="Verdana"/>
          <w:sz w:val="20"/>
          <w:szCs w:val="20"/>
        </w:rPr>
        <w:t>.</w:t>
      </w:r>
    </w:p>
    <w:p w14:paraId="4D5750F8" w14:textId="257CB932" w:rsidR="00DC17E7" w:rsidRDefault="00DC17E7" w:rsidP="00DC17E7">
      <w:pPr>
        <w:spacing w:after="0" w:line="240" w:lineRule="auto"/>
        <w:jc w:val="both"/>
        <w:rPr>
          <w:rFonts w:ascii="Verdana" w:hAnsi="Verdana" w:cs="Arial"/>
          <w:sz w:val="20"/>
          <w:szCs w:val="20"/>
          <w:lang w:val="es-MX"/>
        </w:rPr>
      </w:pPr>
      <w:r w:rsidRPr="00653E80">
        <w:rPr>
          <w:rFonts w:ascii="Verdana" w:hAnsi="Verdana" w:cs="Arial"/>
          <w:sz w:val="20"/>
          <w:szCs w:val="20"/>
          <w:lang w:val="es-MX"/>
        </w:rPr>
        <w:t>Las pociones indexadas a DTF, IBR e IPC se mapearán de forma completa, ponderadas por la duración modificada de cada título o valor.</w:t>
      </w:r>
    </w:p>
    <w:p w14:paraId="7D8B74DB" w14:textId="77777777" w:rsidR="00490CD4" w:rsidRPr="00653E80" w:rsidRDefault="00490CD4" w:rsidP="00DC17E7">
      <w:pPr>
        <w:spacing w:after="0" w:line="240" w:lineRule="auto"/>
        <w:jc w:val="both"/>
        <w:rPr>
          <w:rFonts w:ascii="Verdana" w:hAnsi="Verdana" w:cs="Arial"/>
          <w:sz w:val="20"/>
          <w:szCs w:val="20"/>
          <w:lang w:val="es-MX"/>
        </w:rPr>
      </w:pPr>
    </w:p>
    <w:p w14:paraId="0DB09F46" w14:textId="12D403FB" w:rsidR="00803468" w:rsidRPr="00653E80" w:rsidRDefault="00D556B2" w:rsidP="00803468">
      <w:pPr>
        <w:spacing w:after="0" w:line="240" w:lineRule="auto"/>
        <w:jc w:val="both"/>
        <w:rPr>
          <w:rFonts w:ascii="Verdana" w:hAnsi="Verdana" w:cs="Arial"/>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EF</m:t>
              </m:r>
            </m:e>
            <m:sub>
              <m:r>
                <w:rPr>
                  <w:rFonts w:ascii="Cambria Math" w:hAnsi="Cambria Math" w:cs="Arial"/>
                  <w:sz w:val="20"/>
                  <w:szCs w:val="20"/>
                  <w:lang w:val="es-MX"/>
                </w:rPr>
                <m:t>i</m:t>
              </m:r>
            </m:sub>
          </m:sSub>
          <m:r>
            <w:rPr>
              <w:rFonts w:ascii="Cambria Math" w:hAnsi="Cambria Math" w:cs="Arial"/>
              <w:sz w:val="20"/>
              <w:szCs w:val="20"/>
              <w:lang w:val="es-MX"/>
            </w:rPr>
            <m:t>=</m:t>
          </m:r>
          <m:nary>
            <m:naryPr>
              <m:chr m:val="∑"/>
              <m:limLoc m:val="undOvr"/>
              <m:ctrlPr>
                <w:rPr>
                  <w:rFonts w:ascii="Cambria Math" w:hAnsi="Cambria Math" w:cs="Arial"/>
                  <w:i/>
                  <w:sz w:val="20"/>
                  <w:szCs w:val="20"/>
                  <w:lang w:val="es-MX"/>
                </w:rPr>
              </m:ctrlPr>
            </m:naryPr>
            <m:sub>
              <m:r>
                <w:rPr>
                  <w:rFonts w:ascii="Cambria Math" w:hAnsi="Cambria Math" w:cs="Arial"/>
                  <w:sz w:val="20"/>
                  <w:szCs w:val="20"/>
                  <w:lang w:val="es-MX"/>
                </w:rPr>
                <m:t>n</m:t>
              </m:r>
              <m:r>
                <w:rPr>
                  <w:rFonts w:ascii="Cambria Math" w:hAnsi="Cambria Math" w:cs="Arial"/>
                  <w:sz w:val="20"/>
                  <w:szCs w:val="20"/>
                  <w:lang w:val="es-MX"/>
                </w:rPr>
                <m:t>=1</m:t>
              </m:r>
            </m:sub>
            <m:sup>
              <m:r>
                <w:rPr>
                  <w:rFonts w:ascii="Cambria Math" w:hAnsi="Cambria Math" w:cs="Arial"/>
                  <w:sz w:val="20"/>
                  <w:szCs w:val="20"/>
                  <w:lang w:val="es-MX"/>
                </w:rPr>
                <m:t>N</m:t>
              </m:r>
            </m:sup>
            <m:e>
              <m:sSub>
                <m:sSubPr>
                  <m:ctrlPr>
                    <w:rPr>
                      <w:rFonts w:ascii="Cambria Math" w:hAnsi="Cambria Math" w:cs="Arial"/>
                      <w:i/>
                      <w:sz w:val="20"/>
                      <w:szCs w:val="20"/>
                      <w:lang w:val="es-MX"/>
                    </w:rPr>
                  </m:ctrlPr>
                </m:sSubPr>
                <m:e>
                  <m:r>
                    <w:rPr>
                      <w:rFonts w:ascii="Cambria Math" w:hAnsi="Cambria Math" w:cs="Arial"/>
                      <w:sz w:val="20"/>
                      <w:szCs w:val="20"/>
                      <w:lang w:val="es-MX"/>
                    </w:rPr>
                    <m:t>VP</m:t>
                  </m:r>
                </m:e>
                <m:sub>
                  <m:r>
                    <w:rPr>
                      <w:rFonts w:ascii="Cambria Math" w:hAnsi="Cambria Math" w:cs="Arial"/>
                      <w:sz w:val="20"/>
                      <w:szCs w:val="20"/>
                      <w:lang w:val="es-MX"/>
                    </w:rPr>
                    <m:t>n</m:t>
                  </m:r>
                </m:sub>
              </m:sSub>
              <m:r>
                <w:rPr>
                  <w:rFonts w:ascii="Cambria Math" w:hAnsi="Cambria Math" w:cs="Arial"/>
                  <w:sz w:val="20"/>
                  <w:szCs w:val="20"/>
                  <w:lang w:val="es-MX"/>
                </w:rPr>
                <m:t>*</m:t>
              </m:r>
              <m:sSub>
                <m:sSubPr>
                  <m:ctrlPr>
                    <w:rPr>
                      <w:rFonts w:ascii="Cambria Math" w:hAnsi="Cambria Math" w:cs="Arial"/>
                      <w:i/>
                      <w:sz w:val="20"/>
                      <w:szCs w:val="20"/>
                      <w:lang w:val="es-MX"/>
                    </w:rPr>
                  </m:ctrlPr>
                </m:sSubPr>
                <m:e>
                  <m:r>
                    <w:rPr>
                      <w:rFonts w:ascii="Cambria Math" w:hAnsi="Cambria Math" w:cs="Arial"/>
                      <w:sz w:val="20"/>
                      <w:szCs w:val="20"/>
                      <w:lang w:val="es-MX"/>
                    </w:rPr>
                    <m:t>DM</m:t>
                  </m:r>
                </m:e>
                <m:sub>
                  <m:r>
                    <w:rPr>
                      <w:rFonts w:ascii="Cambria Math" w:hAnsi="Cambria Math" w:cs="Arial"/>
                      <w:sz w:val="20"/>
                      <w:szCs w:val="20"/>
                      <w:lang w:val="es-MX"/>
                    </w:rPr>
                    <m:t>n</m:t>
                  </m:r>
                </m:sub>
              </m:sSub>
            </m:e>
          </m:nary>
        </m:oMath>
      </m:oMathPara>
    </w:p>
    <w:p w14:paraId="29CA0AA5" w14:textId="77777777" w:rsidR="00DC17E7" w:rsidRPr="00653E80" w:rsidRDefault="00DC17E7" w:rsidP="00DC17E7">
      <w:pPr>
        <w:spacing w:after="0" w:line="240" w:lineRule="auto"/>
        <w:jc w:val="both"/>
        <w:rPr>
          <w:rFonts w:ascii="Verdana" w:hAnsi="Verdana" w:cs="Arial"/>
          <w:sz w:val="20"/>
          <w:szCs w:val="20"/>
          <w:lang w:val="es-MX"/>
        </w:rPr>
      </w:pPr>
    </w:p>
    <w:p w14:paraId="47071988" w14:textId="0C90F3CF" w:rsidR="00DC17E7" w:rsidRPr="00653E80" w:rsidRDefault="00FF095F" w:rsidP="00DC17E7">
      <w:pPr>
        <w:spacing w:after="0" w:line="240" w:lineRule="auto"/>
        <w:jc w:val="both"/>
        <w:rPr>
          <w:rFonts w:ascii="Verdana" w:hAnsi="Verdana" w:cs="Arial"/>
          <w:sz w:val="20"/>
          <w:szCs w:val="20"/>
          <w:lang w:val="es-MX"/>
        </w:rPr>
      </w:pPr>
      <w:r>
        <w:rPr>
          <w:rFonts w:ascii="Verdana" w:hAnsi="Verdana" w:cs="Arial"/>
          <w:sz w:val="20"/>
          <w:szCs w:val="20"/>
          <w:lang w:val="es-MX"/>
        </w:rPr>
        <w:t>Donde:</w:t>
      </w:r>
    </w:p>
    <w:p w14:paraId="766B5C15" w14:textId="6AA981CF" w:rsidR="00DC17E7" w:rsidRPr="00653E80" w:rsidRDefault="00DC17E7" w:rsidP="00DC17E7">
      <w:pPr>
        <w:spacing w:after="0" w:line="240" w:lineRule="auto"/>
        <w:jc w:val="center"/>
        <w:rPr>
          <w:rFonts w:ascii="Verdana" w:hAnsi="Verdana" w:cs="Arial"/>
          <w:sz w:val="20"/>
          <w:szCs w:val="20"/>
          <w:lang w:val="es-MX"/>
        </w:rPr>
      </w:pPr>
    </w:p>
    <w:p w14:paraId="0FB87E21" w14:textId="71964252"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hAnsi="Cambria Math" w:cs="Arial"/>
                <w:i/>
                <w:sz w:val="20"/>
                <w:szCs w:val="20"/>
                <w:lang w:val="es-MX"/>
              </w:rPr>
            </m:ctrlPr>
          </m:sSubPr>
          <m:e>
            <m:r>
              <w:rPr>
                <w:rFonts w:ascii="Cambria Math" w:hAnsi="Cambria Math" w:cs="Arial"/>
                <w:sz w:val="20"/>
                <w:szCs w:val="20"/>
                <w:lang w:val="es-MX"/>
              </w:rPr>
              <m:t>EF</m:t>
            </m:r>
          </m:e>
          <m:sub>
            <m:r>
              <w:rPr>
                <w:rFonts w:ascii="Cambria Math" w:hAnsi="Cambria Math" w:cs="Arial"/>
                <w:sz w:val="20"/>
                <w:szCs w:val="20"/>
                <w:lang w:val="es-MX"/>
              </w:rPr>
              <m:t>i</m:t>
            </m:r>
          </m:sub>
        </m:sSub>
      </m:oMath>
      <w:r w:rsidR="00803468">
        <w:rPr>
          <w:rFonts w:ascii="Verdana" w:eastAsiaTheme="minorEastAsia" w:hAnsi="Verdana" w:cs="Arial"/>
          <w:noProof/>
          <w:sz w:val="20"/>
          <w:szCs w:val="20"/>
          <w:lang w:val="es-MX"/>
        </w:rPr>
        <w:t>:</w:t>
      </w:r>
      <w:r w:rsidR="00803468">
        <w:rPr>
          <w:rFonts w:ascii="Verdana" w:eastAsia="Times New Roman" w:hAnsi="Verdana" w:cs="Arial"/>
          <w:sz w:val="20"/>
          <w:szCs w:val="20"/>
          <w:lang w:val="es-MX" w:eastAsia="es-ES"/>
        </w:rPr>
        <w:t xml:space="preserve"> es la e</w:t>
      </w:r>
      <w:r w:rsidR="00DC17E7" w:rsidRPr="00653E80">
        <w:rPr>
          <w:rFonts w:ascii="Verdana" w:eastAsia="Times New Roman" w:hAnsi="Verdana" w:cs="Arial"/>
          <w:sz w:val="20"/>
          <w:szCs w:val="20"/>
          <w:lang w:val="es-MX" w:eastAsia="es-ES"/>
        </w:rPr>
        <w:t>xposición al factor i, i = DTF, IBR, IPC</w:t>
      </w:r>
    </w:p>
    <w:p w14:paraId="4287AA99" w14:textId="77777777" w:rsidR="00803468" w:rsidRDefault="00803468" w:rsidP="00DC17E7">
      <w:pPr>
        <w:spacing w:after="0" w:line="240" w:lineRule="auto"/>
        <w:jc w:val="both"/>
        <w:rPr>
          <w:rFonts w:ascii="Verdana" w:eastAsia="Times New Roman" w:hAnsi="Verdana" w:cs="Arial"/>
          <w:sz w:val="20"/>
          <w:szCs w:val="20"/>
          <w:lang w:val="es-MX" w:eastAsia="es-ES"/>
        </w:rPr>
      </w:pPr>
    </w:p>
    <w:p w14:paraId="33CB6C11" w14:textId="450B943E"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hAnsi="Cambria Math" w:cs="Arial"/>
                <w:i/>
                <w:sz w:val="20"/>
                <w:szCs w:val="20"/>
                <w:lang w:val="es-MX"/>
              </w:rPr>
            </m:ctrlPr>
          </m:sSubPr>
          <m:e>
            <m:r>
              <w:rPr>
                <w:rFonts w:ascii="Cambria Math" w:hAnsi="Cambria Math" w:cs="Arial"/>
                <w:sz w:val="20"/>
                <w:szCs w:val="20"/>
                <w:lang w:val="es-MX"/>
              </w:rPr>
              <m:t>VP</m:t>
            </m:r>
          </m:e>
          <m:sub>
            <m:r>
              <w:rPr>
                <w:rFonts w:ascii="Cambria Math" w:hAnsi="Cambria Math" w:cs="Arial"/>
                <w:sz w:val="20"/>
                <w:szCs w:val="20"/>
                <w:lang w:val="es-MX"/>
              </w:rPr>
              <m:t>n</m:t>
            </m:r>
          </m:sub>
        </m:sSub>
      </m:oMath>
      <w:r w:rsidR="00803468">
        <w:rPr>
          <w:rFonts w:ascii="Verdana" w:eastAsiaTheme="minorEastAsia" w:hAnsi="Verdana" w:cs="Arial"/>
          <w:sz w:val="20"/>
          <w:szCs w:val="20"/>
          <w:lang w:val="es-MX"/>
        </w:rPr>
        <w:t xml:space="preserve">: es el </w:t>
      </w:r>
      <w:r w:rsidR="00803468">
        <w:rPr>
          <w:rFonts w:ascii="Verdana" w:eastAsia="Times New Roman" w:hAnsi="Verdana" w:cs="Arial"/>
          <w:sz w:val="20"/>
          <w:szCs w:val="20"/>
          <w:lang w:val="es-MX" w:eastAsia="es-ES"/>
        </w:rPr>
        <w:t>v</w:t>
      </w:r>
      <w:r w:rsidR="00DC17E7" w:rsidRPr="00653E80">
        <w:rPr>
          <w:rFonts w:ascii="Verdana" w:eastAsia="Times New Roman" w:hAnsi="Verdana" w:cs="Arial"/>
          <w:sz w:val="20"/>
          <w:szCs w:val="20"/>
          <w:lang w:val="es-MX" w:eastAsia="es-ES"/>
        </w:rPr>
        <w:t>alor Presente del título o valor n</w:t>
      </w:r>
    </w:p>
    <w:p w14:paraId="6BEFB166" w14:textId="6575968E" w:rsidR="00803468"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ab/>
      </w:r>
    </w:p>
    <w:p w14:paraId="1DFD84DF" w14:textId="3686E658"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hAnsi="Cambria Math" w:cs="Arial"/>
                <w:i/>
                <w:sz w:val="20"/>
                <w:szCs w:val="20"/>
                <w:lang w:val="es-MX"/>
              </w:rPr>
            </m:ctrlPr>
          </m:sSubPr>
          <m:e>
            <m:r>
              <w:rPr>
                <w:rFonts w:ascii="Cambria Math" w:hAnsi="Cambria Math" w:cs="Arial"/>
                <w:sz w:val="20"/>
                <w:szCs w:val="20"/>
                <w:lang w:val="es-MX"/>
              </w:rPr>
              <m:t>DM</m:t>
            </m:r>
          </m:e>
          <m:sub>
            <m:r>
              <w:rPr>
                <w:rFonts w:ascii="Cambria Math" w:hAnsi="Cambria Math" w:cs="Arial"/>
                <w:sz w:val="20"/>
                <w:szCs w:val="20"/>
                <w:lang w:val="es-MX"/>
              </w:rPr>
              <m:t>n</m:t>
            </m:r>
          </m:sub>
        </m:sSub>
      </m:oMath>
      <w:r w:rsidR="00803468">
        <w:rPr>
          <w:rFonts w:ascii="Verdana" w:eastAsiaTheme="minorEastAsia" w:hAnsi="Verdana" w:cs="Arial"/>
          <w:sz w:val="20"/>
          <w:szCs w:val="20"/>
          <w:lang w:val="es-MX"/>
        </w:rPr>
        <w:t xml:space="preserve">: es la </w:t>
      </w:r>
      <w:r w:rsidR="00803468">
        <w:rPr>
          <w:rFonts w:ascii="Verdana" w:eastAsia="Times New Roman" w:hAnsi="Verdana" w:cs="Arial"/>
          <w:sz w:val="20"/>
          <w:szCs w:val="20"/>
          <w:lang w:val="es-MX" w:eastAsia="es-ES"/>
        </w:rPr>
        <w:t>d</w:t>
      </w:r>
      <w:r w:rsidR="00DC17E7" w:rsidRPr="00653E80">
        <w:rPr>
          <w:rFonts w:ascii="Verdana" w:eastAsia="Times New Roman" w:hAnsi="Verdana" w:cs="Arial"/>
          <w:sz w:val="20"/>
          <w:szCs w:val="20"/>
          <w:lang w:val="es-MX" w:eastAsia="es-ES"/>
        </w:rPr>
        <w:t xml:space="preserve">uración modificada del título o valor, </w:t>
      </w:r>
      <w:r w:rsidR="00DC17E7" w:rsidRPr="00653E80">
        <w:rPr>
          <w:rFonts w:ascii="Verdana" w:eastAsia="Times New Roman" w:hAnsi="Verdana" w:cs="Arial"/>
          <w:sz w:val="20"/>
          <w:szCs w:val="20"/>
          <w:lang w:eastAsia="es-ES"/>
        </w:rPr>
        <w:t xml:space="preserve">calculada de acuerdo </w:t>
      </w:r>
      <w:r w:rsidR="00D90013">
        <w:rPr>
          <w:rFonts w:ascii="Verdana" w:eastAsia="Times New Roman" w:hAnsi="Verdana" w:cs="Arial"/>
          <w:sz w:val="20"/>
          <w:szCs w:val="20"/>
          <w:lang w:eastAsia="es-ES"/>
        </w:rPr>
        <w:t>con lo previsto entre los párrafos 1.1.A6.51. y 1.1.A6.</w:t>
      </w:r>
      <w:r w:rsidR="00D757BE">
        <w:rPr>
          <w:rFonts w:ascii="Verdana" w:eastAsia="Times New Roman" w:hAnsi="Verdana" w:cs="Arial"/>
          <w:sz w:val="20"/>
          <w:szCs w:val="20"/>
          <w:lang w:eastAsia="es-ES"/>
        </w:rPr>
        <w:t>60. de</w:t>
      </w:r>
      <w:r w:rsidR="00346AD0">
        <w:rPr>
          <w:rFonts w:ascii="Verdana" w:eastAsia="Times New Roman" w:hAnsi="Verdana" w:cs="Arial"/>
          <w:sz w:val="20"/>
          <w:szCs w:val="20"/>
          <w:lang w:eastAsia="es-ES"/>
        </w:rPr>
        <w:t>l anexo 6 de</w:t>
      </w:r>
      <w:r w:rsidR="00D757BE">
        <w:rPr>
          <w:rFonts w:ascii="Verdana" w:eastAsia="Times New Roman" w:hAnsi="Verdana" w:cs="Arial"/>
          <w:sz w:val="20"/>
          <w:szCs w:val="20"/>
          <w:lang w:eastAsia="es-ES"/>
        </w:rPr>
        <w:t xml:space="preserve"> la </w:t>
      </w:r>
      <w:r w:rsidR="00747C09">
        <w:rPr>
          <w:rFonts w:ascii="Verdana" w:eastAsia="Times New Roman" w:hAnsi="Verdana" w:cs="Arial"/>
          <w:sz w:val="20"/>
          <w:szCs w:val="20"/>
          <w:lang w:eastAsia="es-ES"/>
        </w:rPr>
        <w:t>CBF</w:t>
      </w:r>
      <w:r w:rsidR="00D757BE">
        <w:rPr>
          <w:rFonts w:ascii="Verdana" w:eastAsia="Times New Roman" w:hAnsi="Verdana" w:cs="Arial"/>
          <w:sz w:val="20"/>
          <w:szCs w:val="20"/>
          <w:lang w:eastAsia="es-ES"/>
        </w:rPr>
        <w:t>.</w:t>
      </w:r>
    </w:p>
    <w:p w14:paraId="490AA6CD"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38ADED6D" w14:textId="5C176290" w:rsidR="00DC17E7" w:rsidRPr="002F3F94" w:rsidRDefault="00DC17E7" w:rsidP="00B05266">
      <w:pPr>
        <w:pStyle w:val="Prrafodelista"/>
        <w:numPr>
          <w:ilvl w:val="0"/>
          <w:numId w:val="47"/>
        </w:numPr>
        <w:spacing w:after="0" w:line="240" w:lineRule="auto"/>
        <w:ind w:left="567" w:hanging="283"/>
        <w:jc w:val="both"/>
        <w:rPr>
          <w:rFonts w:ascii="Verdana" w:eastAsia="Times New Roman" w:hAnsi="Verdana" w:cs="Arial"/>
          <w:b/>
          <w:bCs/>
          <w:sz w:val="20"/>
          <w:szCs w:val="20"/>
          <w:lang w:val="es-MX" w:eastAsia="es-ES"/>
        </w:rPr>
      </w:pPr>
      <w:r w:rsidRPr="002F3F94">
        <w:rPr>
          <w:rFonts w:ascii="Verdana" w:eastAsia="Times New Roman" w:hAnsi="Verdana" w:cs="Arial"/>
          <w:b/>
          <w:bCs/>
          <w:sz w:val="20"/>
          <w:szCs w:val="20"/>
          <w:lang w:val="es-MX" w:eastAsia="es-ES"/>
        </w:rPr>
        <w:lastRenderedPageBreak/>
        <w:t>Cálculo de la exposición neta a</w:t>
      </w:r>
      <w:r w:rsidR="00A94383" w:rsidRPr="00572453">
        <w:rPr>
          <w:rFonts w:ascii="Verdana" w:eastAsia="Times New Roman" w:hAnsi="Verdana" w:cs="Arial"/>
          <w:b/>
          <w:bCs/>
          <w:sz w:val="20"/>
          <w:szCs w:val="20"/>
          <w:lang w:val="es-MX" w:eastAsia="es-ES"/>
        </w:rPr>
        <w:t>l</w:t>
      </w:r>
      <w:r w:rsidRPr="002F3F94">
        <w:rPr>
          <w:rFonts w:ascii="Verdana" w:eastAsia="Times New Roman" w:hAnsi="Verdana" w:cs="Arial"/>
          <w:b/>
          <w:bCs/>
          <w:sz w:val="20"/>
          <w:szCs w:val="20"/>
          <w:lang w:val="es-MX" w:eastAsia="es-ES"/>
        </w:rPr>
        <w:t xml:space="preserve"> riesgo de tasa de interés.</w:t>
      </w:r>
    </w:p>
    <w:p w14:paraId="037A381B" w14:textId="77777777" w:rsidR="00DC17E7" w:rsidRDefault="00DC17E7" w:rsidP="00DC17E7">
      <w:pPr>
        <w:spacing w:after="0" w:line="240" w:lineRule="auto"/>
        <w:ind w:left="284" w:hanging="284"/>
        <w:jc w:val="both"/>
        <w:rPr>
          <w:rFonts w:ascii="Verdana" w:eastAsia="Times New Roman" w:hAnsi="Verdana" w:cs="Arial"/>
          <w:b/>
          <w:sz w:val="20"/>
          <w:szCs w:val="20"/>
          <w:lang w:val="es-MX" w:eastAsia="es-ES"/>
        </w:rPr>
      </w:pPr>
    </w:p>
    <w:p w14:paraId="02C71E8E" w14:textId="46CAF326"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5</w:t>
      </w:r>
      <w:r w:rsidR="001B26CE">
        <w:rPr>
          <w:rFonts w:ascii="Verdana" w:hAnsi="Verdana"/>
          <w:sz w:val="20"/>
          <w:szCs w:val="20"/>
        </w:rPr>
        <w:t>3</w:t>
      </w:r>
      <w:r w:rsidRPr="000E0B7B">
        <w:rPr>
          <w:rFonts w:ascii="Verdana" w:hAnsi="Verdana"/>
          <w:sz w:val="20"/>
          <w:szCs w:val="20"/>
        </w:rPr>
        <w:t>.</w:t>
      </w:r>
    </w:p>
    <w:p w14:paraId="2BEBF0A6" w14:textId="06302558" w:rsidR="00DC17E7" w:rsidRPr="00F53CDB" w:rsidRDefault="00A94383" w:rsidP="00DC17E7">
      <w:pPr>
        <w:spacing w:after="0" w:line="240" w:lineRule="auto"/>
        <w:jc w:val="both"/>
        <w:rPr>
          <w:rFonts w:ascii="Verdana" w:eastAsia="Times New Roman" w:hAnsi="Verdana" w:cs="Arial"/>
          <w:sz w:val="20"/>
          <w:szCs w:val="20"/>
          <w:lang w:val="es-MX" w:eastAsia="es-ES"/>
        </w:rPr>
      </w:pPr>
      <w:r>
        <w:rPr>
          <w:rFonts w:ascii="Verdana" w:eastAsia="Times New Roman" w:hAnsi="Verdana" w:cs="Arial"/>
          <w:sz w:val="20"/>
          <w:szCs w:val="20"/>
          <w:lang w:val="es-MX" w:eastAsia="es-ES"/>
        </w:rPr>
        <w:t>Corresponde a l</w:t>
      </w:r>
      <w:r w:rsidR="00DC17E7" w:rsidRPr="00F53CDB">
        <w:rPr>
          <w:rFonts w:ascii="Verdana" w:eastAsia="Times New Roman" w:hAnsi="Verdana" w:cs="Arial"/>
          <w:sz w:val="20"/>
          <w:szCs w:val="20"/>
          <w:lang w:val="es-MX" w:eastAsia="es-ES"/>
        </w:rPr>
        <w:t xml:space="preserve">a posición neta de las operaciones spot de la entidad, calculada como la diferencia entre las posiciones largas y cortas de los flujos de los títulos o valores de renta fija. </w:t>
      </w:r>
      <w:r w:rsidR="00110482">
        <w:rPr>
          <w:rFonts w:ascii="Verdana" w:eastAsia="Times New Roman" w:hAnsi="Verdana" w:cs="Arial"/>
          <w:sz w:val="20"/>
          <w:szCs w:val="20"/>
          <w:lang w:val="es-MX" w:eastAsia="es-ES"/>
        </w:rPr>
        <w:t xml:space="preserve">Así mismo, la entidad debe incluir la exposición al riesgo de tasa de interés de las posiciones </w:t>
      </w:r>
      <w:r w:rsidR="00992ACB">
        <w:rPr>
          <w:rFonts w:ascii="Verdana" w:eastAsia="Times New Roman" w:hAnsi="Verdana" w:cs="Arial"/>
          <w:sz w:val="20"/>
          <w:szCs w:val="20"/>
          <w:lang w:val="es-MX" w:eastAsia="es-ES"/>
        </w:rPr>
        <w:t>que se citan a continuación</w:t>
      </w:r>
      <w:r w:rsidR="00110482">
        <w:rPr>
          <w:rFonts w:ascii="Verdana" w:eastAsia="Times New Roman" w:hAnsi="Verdana" w:cs="Arial"/>
          <w:sz w:val="20"/>
          <w:szCs w:val="20"/>
          <w:lang w:val="es-MX" w:eastAsia="es-ES"/>
        </w:rPr>
        <w:t>.</w:t>
      </w:r>
    </w:p>
    <w:p w14:paraId="157BD997" w14:textId="77777777" w:rsidR="00DC17E7" w:rsidRDefault="00DC17E7" w:rsidP="00DC17E7">
      <w:pPr>
        <w:pStyle w:val="Prrafodelista"/>
        <w:spacing w:after="0" w:line="240" w:lineRule="auto"/>
        <w:ind w:left="0"/>
        <w:jc w:val="both"/>
        <w:rPr>
          <w:rFonts w:ascii="Verdana" w:eastAsia="Times New Roman" w:hAnsi="Verdana" w:cs="Arial"/>
          <w:sz w:val="20"/>
          <w:szCs w:val="20"/>
          <w:lang w:val="es-MX" w:eastAsia="es-ES"/>
        </w:rPr>
      </w:pPr>
    </w:p>
    <w:p w14:paraId="4B5732B2" w14:textId="43B66389"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5</w:t>
      </w:r>
      <w:r w:rsidR="001B26CE">
        <w:rPr>
          <w:rFonts w:ascii="Verdana" w:hAnsi="Verdana"/>
          <w:sz w:val="20"/>
          <w:szCs w:val="20"/>
        </w:rPr>
        <w:t>4</w:t>
      </w:r>
      <w:r w:rsidRPr="000E0B7B">
        <w:rPr>
          <w:rFonts w:ascii="Verdana" w:hAnsi="Verdana"/>
          <w:sz w:val="20"/>
          <w:szCs w:val="20"/>
        </w:rPr>
        <w:t>.</w:t>
      </w:r>
    </w:p>
    <w:p w14:paraId="6B40C362" w14:textId="7E58E598" w:rsidR="00DC17E7" w:rsidRPr="00F53CDB" w:rsidRDefault="00DC17E7" w:rsidP="00DC17E7">
      <w:pPr>
        <w:spacing w:after="0" w:line="240" w:lineRule="auto"/>
        <w:jc w:val="both"/>
        <w:rPr>
          <w:rFonts w:ascii="Verdana" w:eastAsia="Times New Roman" w:hAnsi="Verdana" w:cs="Arial"/>
          <w:sz w:val="20"/>
          <w:szCs w:val="20"/>
          <w:lang w:val="es-MX" w:eastAsia="es-ES"/>
        </w:rPr>
      </w:pPr>
      <w:r w:rsidRPr="00F53CDB">
        <w:rPr>
          <w:rFonts w:ascii="Verdana" w:eastAsia="Times New Roman" w:hAnsi="Verdana" w:cs="Arial"/>
          <w:sz w:val="20"/>
          <w:szCs w:val="20"/>
          <w:lang w:val="es-MX" w:eastAsia="es-ES"/>
        </w:rPr>
        <w:t>La posición neta de las operaciones forward de la entidad, calculada como la diferencia entre las posiciones largas en forwards, futuros y operaciones a plazo que tengan como subyacentes tasas de interés, y las posiciones cortas en dichos instrumentos.</w:t>
      </w:r>
    </w:p>
    <w:p w14:paraId="2E9475F2"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107D9BC2" w14:textId="77A79008"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5</w:t>
      </w:r>
      <w:r w:rsidR="001B26CE">
        <w:rPr>
          <w:rFonts w:ascii="Verdana" w:hAnsi="Verdana"/>
          <w:sz w:val="20"/>
          <w:szCs w:val="20"/>
        </w:rPr>
        <w:t>5</w:t>
      </w:r>
      <w:r w:rsidRPr="000E0B7B">
        <w:rPr>
          <w:rFonts w:ascii="Verdana" w:hAnsi="Verdana"/>
          <w:sz w:val="20"/>
          <w:szCs w:val="20"/>
        </w:rPr>
        <w:t>.</w:t>
      </w:r>
    </w:p>
    <w:p w14:paraId="3DCD28F5" w14:textId="395D12C4" w:rsidR="00DC17E7" w:rsidRPr="00F53CDB" w:rsidRDefault="00DC17E7" w:rsidP="00DC17E7">
      <w:pPr>
        <w:spacing w:after="0" w:line="240" w:lineRule="auto"/>
        <w:jc w:val="both"/>
        <w:rPr>
          <w:rFonts w:ascii="Verdana" w:eastAsia="Times New Roman" w:hAnsi="Verdana" w:cs="Arial"/>
          <w:sz w:val="20"/>
          <w:szCs w:val="20"/>
          <w:lang w:val="es-MX" w:eastAsia="es-ES"/>
        </w:rPr>
      </w:pPr>
      <w:r w:rsidRPr="00F53CDB">
        <w:rPr>
          <w:rFonts w:ascii="Verdana" w:eastAsia="Times New Roman" w:hAnsi="Verdana" w:cs="Arial"/>
          <w:sz w:val="20"/>
          <w:szCs w:val="20"/>
          <w:lang w:val="es-MX" w:eastAsia="es-ES"/>
        </w:rPr>
        <w:t>La posición neta de las operaciones en derivados de la entidad, cuyo</w:t>
      </w:r>
      <w:r w:rsidR="00356389">
        <w:rPr>
          <w:rFonts w:ascii="Verdana" w:eastAsia="Times New Roman" w:hAnsi="Verdana" w:cs="Arial"/>
          <w:sz w:val="20"/>
          <w:szCs w:val="20"/>
          <w:lang w:val="es-MX" w:eastAsia="es-ES"/>
        </w:rPr>
        <w:t>s</w:t>
      </w:r>
      <w:r w:rsidRPr="00F53CDB">
        <w:rPr>
          <w:rFonts w:ascii="Verdana" w:eastAsia="Times New Roman" w:hAnsi="Verdana" w:cs="Arial"/>
          <w:sz w:val="20"/>
          <w:szCs w:val="20"/>
          <w:lang w:val="es-MX" w:eastAsia="es-ES"/>
        </w:rPr>
        <w:t xml:space="preserve"> subyacente</w:t>
      </w:r>
      <w:r w:rsidR="00583279">
        <w:rPr>
          <w:rFonts w:ascii="Verdana" w:eastAsia="Times New Roman" w:hAnsi="Verdana" w:cs="Arial"/>
          <w:sz w:val="20"/>
          <w:szCs w:val="20"/>
          <w:lang w:val="es-MX" w:eastAsia="es-ES"/>
        </w:rPr>
        <w:t>s</w:t>
      </w:r>
      <w:r w:rsidRPr="00F53CDB">
        <w:rPr>
          <w:rFonts w:ascii="Verdana" w:eastAsia="Times New Roman" w:hAnsi="Verdana" w:cs="Arial"/>
          <w:sz w:val="20"/>
          <w:szCs w:val="20"/>
          <w:lang w:val="es-MX" w:eastAsia="es-ES"/>
        </w:rPr>
        <w:t xml:space="preserve"> sean tasas de interés.</w:t>
      </w:r>
    </w:p>
    <w:p w14:paraId="02A923C9" w14:textId="77777777" w:rsidR="00DC17E7" w:rsidRPr="00653E80" w:rsidRDefault="00DC17E7" w:rsidP="00DC17E7">
      <w:pPr>
        <w:pStyle w:val="Prrafodelista"/>
        <w:spacing w:after="0" w:line="240" w:lineRule="auto"/>
        <w:ind w:left="0"/>
        <w:jc w:val="both"/>
        <w:rPr>
          <w:rFonts w:ascii="Verdana" w:eastAsia="Times New Roman" w:hAnsi="Verdana" w:cs="Arial"/>
          <w:sz w:val="20"/>
          <w:szCs w:val="20"/>
          <w:lang w:val="es-MX" w:eastAsia="es-ES"/>
        </w:rPr>
      </w:pPr>
    </w:p>
    <w:p w14:paraId="2DCE9543" w14:textId="0C887846"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5</w:t>
      </w:r>
      <w:r w:rsidR="001B26CE">
        <w:rPr>
          <w:rFonts w:ascii="Verdana" w:hAnsi="Verdana"/>
          <w:sz w:val="20"/>
          <w:szCs w:val="20"/>
        </w:rPr>
        <w:t>6</w:t>
      </w:r>
      <w:r w:rsidRPr="000E0B7B">
        <w:rPr>
          <w:rFonts w:ascii="Verdana" w:hAnsi="Verdana"/>
          <w:sz w:val="20"/>
          <w:szCs w:val="20"/>
        </w:rPr>
        <w:t>.</w:t>
      </w:r>
    </w:p>
    <w:p w14:paraId="6940EA81" w14:textId="46784810" w:rsidR="00DC17E7" w:rsidRPr="00F53CDB" w:rsidRDefault="00DC17E7" w:rsidP="00DC17E7">
      <w:pPr>
        <w:spacing w:after="0" w:line="240" w:lineRule="auto"/>
        <w:jc w:val="both"/>
        <w:rPr>
          <w:rFonts w:ascii="Verdana" w:eastAsia="Times New Roman" w:hAnsi="Verdana" w:cs="Arial"/>
          <w:sz w:val="20"/>
          <w:szCs w:val="20"/>
          <w:lang w:val="es-MX" w:eastAsia="es-ES"/>
        </w:rPr>
      </w:pPr>
      <w:r w:rsidRPr="00F53CDB">
        <w:rPr>
          <w:rFonts w:ascii="Verdana" w:eastAsia="Times New Roman" w:hAnsi="Verdana" w:cs="Arial"/>
          <w:sz w:val="20"/>
          <w:szCs w:val="20"/>
          <w:lang w:val="es-MX" w:eastAsia="es-ES"/>
        </w:rPr>
        <w:t xml:space="preserve">Adicionalmente, cuando corresponda </w:t>
      </w:r>
      <w:r w:rsidRPr="0094305A">
        <w:rPr>
          <w:rFonts w:ascii="Verdana" w:eastAsia="Times New Roman" w:hAnsi="Verdana" w:cs="Arial"/>
          <w:sz w:val="20"/>
          <w:szCs w:val="20"/>
          <w:lang w:val="es-MX" w:eastAsia="es-ES"/>
        </w:rPr>
        <w:t>las posiciones delta ponderadas de opciones</w:t>
      </w:r>
      <w:r w:rsidRPr="00F53CDB">
        <w:rPr>
          <w:rFonts w:ascii="Verdana" w:eastAsia="Times New Roman" w:hAnsi="Verdana" w:cs="Arial"/>
          <w:sz w:val="20"/>
          <w:szCs w:val="20"/>
          <w:lang w:val="es-MX" w:eastAsia="es-ES"/>
        </w:rPr>
        <w:t xml:space="preserve"> en tasas de interés</w:t>
      </w:r>
      <w:r w:rsidR="00992ACB">
        <w:rPr>
          <w:rFonts w:ascii="Verdana" w:eastAsia="Times New Roman" w:hAnsi="Verdana" w:cs="Arial"/>
          <w:sz w:val="20"/>
          <w:szCs w:val="20"/>
          <w:lang w:val="es-MX" w:eastAsia="es-ES"/>
        </w:rPr>
        <w:t xml:space="preserve">, </w:t>
      </w:r>
      <w:r w:rsidR="00992ACB" w:rsidRPr="00F53CDB">
        <w:rPr>
          <w:rFonts w:ascii="Verdana" w:eastAsia="Times New Roman" w:hAnsi="Verdana" w:cs="Arial"/>
          <w:sz w:val="20"/>
          <w:szCs w:val="20"/>
          <w:lang w:val="es-MX" w:eastAsia="es-ES"/>
        </w:rPr>
        <w:t xml:space="preserve">según lo </w:t>
      </w:r>
      <w:r w:rsidR="00992ACB" w:rsidRPr="0094305A">
        <w:rPr>
          <w:rFonts w:ascii="Verdana" w:eastAsia="Times New Roman" w:hAnsi="Verdana" w:cs="Arial"/>
          <w:sz w:val="20"/>
          <w:szCs w:val="20"/>
          <w:lang w:val="es-MX" w:eastAsia="es-ES"/>
        </w:rPr>
        <w:t>previsto entre los párrafos 1</w:t>
      </w:r>
      <w:r w:rsidR="00992ACB" w:rsidRPr="00186B0B">
        <w:rPr>
          <w:rFonts w:ascii="Verdana" w:eastAsia="Times New Roman" w:hAnsi="Verdana" w:cs="Arial"/>
          <w:sz w:val="20"/>
          <w:szCs w:val="20"/>
          <w:lang w:val="es-MX" w:eastAsia="es-ES"/>
        </w:rPr>
        <w:t>.1.A7.8</w:t>
      </w:r>
      <w:r w:rsidR="00992ACB" w:rsidRPr="00DB30AC">
        <w:rPr>
          <w:rFonts w:ascii="Verdana" w:eastAsia="Times New Roman" w:hAnsi="Verdana" w:cs="Arial"/>
          <w:sz w:val="20"/>
          <w:szCs w:val="20"/>
          <w:lang w:val="es-MX" w:eastAsia="es-ES"/>
        </w:rPr>
        <w:t>6</w:t>
      </w:r>
      <w:r w:rsidR="00992ACB" w:rsidRPr="00186B0B">
        <w:rPr>
          <w:rFonts w:ascii="Verdana" w:eastAsia="Times New Roman" w:hAnsi="Verdana" w:cs="Arial"/>
          <w:sz w:val="20"/>
          <w:szCs w:val="20"/>
          <w:lang w:val="es-MX" w:eastAsia="es-ES"/>
        </w:rPr>
        <w:t>. y 1.1.A7.91</w:t>
      </w:r>
      <w:r w:rsidRPr="00F53CDB">
        <w:rPr>
          <w:rFonts w:ascii="Verdana" w:eastAsia="Times New Roman" w:hAnsi="Verdana" w:cs="Arial"/>
          <w:sz w:val="20"/>
          <w:szCs w:val="20"/>
          <w:lang w:val="es-MX" w:eastAsia="es-ES"/>
        </w:rPr>
        <w:t xml:space="preserve">. </w:t>
      </w:r>
    </w:p>
    <w:p w14:paraId="7A714C6C"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678DCB36" w14:textId="7FA65027" w:rsidR="00DC17E7" w:rsidRPr="003E4E69" w:rsidRDefault="00DC17E7" w:rsidP="00B05266">
      <w:pPr>
        <w:pStyle w:val="Prrafodelista"/>
        <w:numPr>
          <w:ilvl w:val="0"/>
          <w:numId w:val="47"/>
        </w:numPr>
        <w:spacing w:after="0" w:line="240" w:lineRule="auto"/>
        <w:ind w:left="567" w:hanging="283"/>
        <w:jc w:val="both"/>
        <w:rPr>
          <w:rFonts w:ascii="Verdana" w:eastAsia="Times New Roman" w:hAnsi="Verdana" w:cs="Arial"/>
          <w:b/>
          <w:bCs/>
          <w:sz w:val="20"/>
          <w:szCs w:val="20"/>
          <w:lang w:val="es-MX" w:eastAsia="es-ES"/>
        </w:rPr>
      </w:pPr>
      <w:r w:rsidRPr="003E4E69">
        <w:rPr>
          <w:rFonts w:ascii="Verdana" w:eastAsia="Times New Roman" w:hAnsi="Verdana" w:cs="Arial"/>
          <w:b/>
          <w:bCs/>
          <w:sz w:val="20"/>
          <w:szCs w:val="20"/>
          <w:lang w:val="es-MX" w:eastAsia="es-ES"/>
        </w:rPr>
        <w:t>Cálculo de la sensibilidad al riesgo</w:t>
      </w:r>
      <w:r w:rsidR="00AD2667">
        <w:rPr>
          <w:rFonts w:ascii="Verdana" w:eastAsia="Times New Roman" w:hAnsi="Verdana" w:cs="Arial"/>
          <w:b/>
          <w:bCs/>
          <w:sz w:val="20"/>
          <w:szCs w:val="20"/>
          <w:lang w:val="es-MX" w:eastAsia="es-ES"/>
        </w:rPr>
        <w:t xml:space="preserve"> </w:t>
      </w:r>
      <w:r w:rsidR="00AD2667" w:rsidRPr="00AD2667">
        <w:rPr>
          <w:rFonts w:ascii="Verdana" w:eastAsia="Times New Roman" w:hAnsi="Verdana" w:cs="Arial"/>
          <w:b/>
          <w:bCs/>
          <w:sz w:val="20"/>
          <w:szCs w:val="20"/>
          <w:lang w:val="es-MX" w:eastAsia="es-ES"/>
        </w:rPr>
        <w:t>de posiciones tasa fija, UVR y emisiones del exterior</w:t>
      </w:r>
    </w:p>
    <w:p w14:paraId="45B9B9BF" w14:textId="77777777" w:rsidR="00DC17E7" w:rsidRPr="00653E80" w:rsidRDefault="00DC17E7" w:rsidP="00DC17E7">
      <w:pPr>
        <w:spacing w:after="0" w:line="240" w:lineRule="auto"/>
        <w:jc w:val="both"/>
        <w:rPr>
          <w:rFonts w:ascii="Verdana" w:eastAsia="Times New Roman" w:hAnsi="Verdana" w:cs="Arial"/>
          <w:b/>
          <w:sz w:val="20"/>
          <w:szCs w:val="20"/>
          <w:lang w:val="es-MX" w:eastAsia="es-ES"/>
        </w:rPr>
      </w:pPr>
    </w:p>
    <w:p w14:paraId="0117BA25" w14:textId="36BDF640"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5</w:t>
      </w:r>
      <w:r w:rsidR="001B26CE">
        <w:rPr>
          <w:rFonts w:ascii="Verdana" w:hAnsi="Verdana"/>
          <w:sz w:val="20"/>
          <w:szCs w:val="20"/>
        </w:rPr>
        <w:t>7</w:t>
      </w:r>
      <w:r w:rsidRPr="000E0B7B">
        <w:rPr>
          <w:rFonts w:ascii="Verdana" w:hAnsi="Verdana"/>
          <w:sz w:val="20"/>
          <w:szCs w:val="20"/>
        </w:rPr>
        <w:t>.</w:t>
      </w:r>
    </w:p>
    <w:p w14:paraId="39F4CE78" w14:textId="00E433DD" w:rsidR="00DC17E7"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Con el fin de calcular la sensibilidad al riesgo por cada factor de riesgo relacionado con cada una de las posiciones netas </w:t>
      </w:r>
      <w:r w:rsidR="003B6BE5">
        <w:rPr>
          <w:rFonts w:ascii="Verdana" w:eastAsia="Times New Roman" w:hAnsi="Verdana" w:cs="Arial"/>
          <w:sz w:val="20"/>
          <w:szCs w:val="20"/>
          <w:lang w:val="es-MX" w:eastAsia="es-ES"/>
        </w:rPr>
        <w:t xml:space="preserve">la entidad </w:t>
      </w:r>
      <w:r w:rsidRPr="00653E80">
        <w:rPr>
          <w:rFonts w:ascii="Verdana" w:eastAsia="Times New Roman" w:hAnsi="Verdana" w:cs="Arial"/>
          <w:sz w:val="20"/>
          <w:szCs w:val="20"/>
          <w:lang w:val="es-MX" w:eastAsia="es-ES"/>
        </w:rPr>
        <w:t xml:space="preserve">debe </w:t>
      </w:r>
      <w:r w:rsidR="003B6BE5">
        <w:rPr>
          <w:rFonts w:ascii="Verdana" w:eastAsia="Times New Roman" w:hAnsi="Verdana" w:cs="Arial"/>
          <w:sz w:val="20"/>
          <w:szCs w:val="20"/>
          <w:lang w:val="es-MX" w:eastAsia="es-ES"/>
        </w:rPr>
        <w:t xml:space="preserve">efectuar </w:t>
      </w:r>
      <w:r w:rsidRPr="00653E80">
        <w:rPr>
          <w:rFonts w:ascii="Verdana" w:eastAsia="Times New Roman" w:hAnsi="Verdana" w:cs="Arial"/>
          <w:sz w:val="20"/>
          <w:szCs w:val="20"/>
          <w:lang w:val="es-MX" w:eastAsia="es-ES"/>
        </w:rPr>
        <w:t xml:space="preserve">la suma aritmética de las exposiciones netas de cada nodo ponderadas por </w:t>
      </w:r>
      <w:r w:rsidRPr="00F86831">
        <w:rPr>
          <w:rFonts w:ascii="Verdana" w:eastAsia="Times New Roman" w:hAnsi="Verdana" w:cs="Arial"/>
          <w:sz w:val="20"/>
          <w:szCs w:val="20"/>
          <w:lang w:val="es-MX" w:eastAsia="es-ES"/>
        </w:rPr>
        <w:t>la matriz de choques que suministrará la Superintendencia Financiera de Colombia según lo dispuesto en</w:t>
      </w:r>
      <w:r w:rsidR="009D5327">
        <w:rPr>
          <w:rFonts w:ascii="Verdana" w:eastAsia="Times New Roman" w:hAnsi="Verdana" w:cs="Arial"/>
          <w:sz w:val="20"/>
          <w:szCs w:val="20"/>
          <w:lang w:val="es-MX" w:eastAsia="es-ES"/>
        </w:rPr>
        <w:t xml:space="preserve"> </w:t>
      </w:r>
      <w:r w:rsidR="00F86831">
        <w:rPr>
          <w:rFonts w:ascii="Verdana" w:eastAsia="Times New Roman" w:hAnsi="Verdana" w:cs="Arial"/>
          <w:sz w:val="20"/>
          <w:szCs w:val="20"/>
          <w:lang w:val="es-MX" w:eastAsia="es-ES"/>
        </w:rPr>
        <w:t>el</w:t>
      </w:r>
      <w:r w:rsidR="009D5327">
        <w:rPr>
          <w:rFonts w:ascii="Verdana" w:eastAsia="Times New Roman" w:hAnsi="Verdana" w:cs="Arial"/>
          <w:sz w:val="20"/>
          <w:szCs w:val="20"/>
          <w:lang w:val="es-MX" w:eastAsia="es-ES"/>
        </w:rPr>
        <w:t xml:space="preserve"> párrafo </w:t>
      </w:r>
      <w:r w:rsidR="009D5327" w:rsidRPr="00186B0B">
        <w:rPr>
          <w:rFonts w:ascii="Verdana" w:eastAsia="Times New Roman" w:hAnsi="Verdana" w:cs="Arial"/>
          <w:sz w:val="20"/>
          <w:szCs w:val="20"/>
          <w:lang w:val="es-MX" w:eastAsia="es-ES"/>
        </w:rPr>
        <w:t>1.1.A7.</w:t>
      </w:r>
      <w:r w:rsidR="00186B0B" w:rsidRPr="00186B0B">
        <w:rPr>
          <w:rFonts w:ascii="Verdana" w:eastAsia="Times New Roman" w:hAnsi="Verdana" w:cs="Arial"/>
          <w:sz w:val="20"/>
          <w:szCs w:val="20"/>
          <w:lang w:val="es-MX" w:eastAsia="es-ES"/>
        </w:rPr>
        <w:t>9</w:t>
      </w:r>
      <w:r w:rsidR="00186B0B" w:rsidRPr="00DB30AC">
        <w:rPr>
          <w:rFonts w:ascii="Verdana" w:eastAsia="Times New Roman" w:hAnsi="Verdana" w:cs="Arial"/>
          <w:sz w:val="20"/>
          <w:szCs w:val="20"/>
          <w:lang w:val="es-MX" w:eastAsia="es-ES"/>
        </w:rPr>
        <w:t>2</w:t>
      </w:r>
      <w:r w:rsidR="009D5327" w:rsidRPr="00186B0B">
        <w:rPr>
          <w:rFonts w:ascii="Verdana" w:eastAsia="Times New Roman" w:hAnsi="Verdana" w:cs="Arial"/>
          <w:sz w:val="20"/>
          <w:szCs w:val="20"/>
          <w:lang w:val="es-MX" w:eastAsia="es-ES"/>
        </w:rPr>
        <w:t>.</w:t>
      </w:r>
    </w:p>
    <w:p w14:paraId="65FE88F5" w14:textId="77777777" w:rsidR="00490CD4" w:rsidRPr="00F86831" w:rsidRDefault="00490CD4" w:rsidP="00DC17E7">
      <w:pPr>
        <w:spacing w:after="0" w:line="240" w:lineRule="auto"/>
        <w:jc w:val="both"/>
        <w:rPr>
          <w:rFonts w:ascii="Verdana" w:eastAsia="Times New Roman" w:hAnsi="Verdana" w:cs="Arial"/>
          <w:sz w:val="20"/>
          <w:szCs w:val="20"/>
          <w:lang w:val="es-MX" w:eastAsia="es-ES"/>
        </w:rPr>
      </w:pPr>
    </w:p>
    <w:p w14:paraId="797F6461" w14:textId="73F7966C" w:rsidR="00DC17E7" w:rsidRPr="00183B65" w:rsidRDefault="00D556B2" w:rsidP="00183B65">
      <w:pPr>
        <w:spacing w:after="0" w:line="240" w:lineRule="auto"/>
        <w:jc w:val="both"/>
        <w:rPr>
          <w:rFonts w:ascii="Verdana" w:eastAsia="Times New Roman" w:hAnsi="Verdana" w:cs="Arial"/>
          <w:bCs/>
          <w:sz w:val="20"/>
          <w:szCs w:val="20"/>
          <w:lang w:val="es-MX" w:eastAsia="es-ES"/>
        </w:rPr>
      </w:pPr>
      <m:oMathPara>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icr</m:t>
              </m:r>
            </m:sub>
          </m:sSub>
          <m:r>
            <w:rPr>
              <w:rFonts w:ascii="Cambria Math" w:eastAsia="Times New Roman" w:hAnsi="Cambria Math" w:cs="Arial"/>
              <w:sz w:val="20"/>
              <w:szCs w:val="20"/>
              <w:lang w:val="es-MX" w:eastAsia="es-ES"/>
            </w:rPr>
            <m:t>=</m:t>
          </m:r>
          <m:nary>
            <m:naryPr>
              <m:chr m:val="∑"/>
              <m:limLoc m:val="undOvr"/>
              <m:ctrlPr>
                <w:rPr>
                  <w:rFonts w:ascii="Cambria Math" w:eastAsia="Times New Roman" w:hAnsi="Cambria Math" w:cs="Arial"/>
                  <w:bCs/>
                  <w:i/>
                  <w:sz w:val="20"/>
                  <w:szCs w:val="20"/>
                  <w:lang w:val="es-MX" w:eastAsia="es-ES"/>
                </w:rPr>
              </m:ctrlPr>
            </m:naryPr>
            <m:sub>
              <m:r>
                <w:rPr>
                  <w:rFonts w:ascii="Cambria Math" w:eastAsia="Times New Roman" w:hAnsi="Cambria Math" w:cs="Arial"/>
                  <w:sz w:val="20"/>
                  <w:szCs w:val="20"/>
                  <w:lang w:val="es-MX" w:eastAsia="es-ES"/>
                </w:rPr>
                <m:t>n</m:t>
              </m:r>
              <m:r>
                <w:rPr>
                  <w:rFonts w:ascii="Cambria Math" w:eastAsia="Times New Roman" w:hAnsi="Cambria Math" w:cs="Arial"/>
                  <w:sz w:val="20"/>
                  <w:szCs w:val="20"/>
                  <w:lang w:val="es-MX" w:eastAsia="es-ES"/>
                </w:rPr>
                <m:t>=1</m:t>
              </m:r>
            </m:sub>
            <m:sup>
              <m:r>
                <w:rPr>
                  <w:rFonts w:ascii="Cambria Math" w:eastAsia="Times New Roman" w:hAnsi="Cambria Math" w:cs="Arial"/>
                  <w:sz w:val="20"/>
                  <w:szCs w:val="20"/>
                  <w:lang w:val="es-MX" w:eastAsia="es-ES"/>
                </w:rPr>
                <m:t>9</m:t>
              </m:r>
            </m:sup>
            <m:e>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C</m:t>
                  </m:r>
                  <m:r>
                    <w:rPr>
                      <w:rFonts w:ascii="Cambria Math" w:eastAsia="Times New Roman" w:hAnsi="Cambria Math" w:cs="Arial"/>
                      <w:sz w:val="20"/>
                      <w:szCs w:val="20"/>
                      <w:lang w:val="es-MX" w:eastAsia="es-ES"/>
                    </w:rPr>
                    <m:t>h</m:t>
                  </m:r>
                  <m:r>
                    <w:rPr>
                      <w:rFonts w:ascii="Cambria Math" w:eastAsia="Times New Roman" w:hAnsi="Cambria Math" w:cs="Arial"/>
                      <w:sz w:val="20"/>
                      <w:szCs w:val="20"/>
                      <w:lang w:val="es-MX" w:eastAsia="es-ES"/>
                    </w:rPr>
                    <m:t>oque</m:t>
                  </m:r>
                </m:e>
                <m:sub>
                  <m:r>
                    <w:rPr>
                      <w:rFonts w:ascii="Cambria Math" w:eastAsia="Times New Roman" w:hAnsi="Cambria Math" w:cs="Arial"/>
                      <w:sz w:val="20"/>
                      <w:szCs w:val="20"/>
                      <w:lang w:val="es-MX" w:eastAsia="es-ES"/>
                    </w:rPr>
                    <m:t>in</m:t>
                  </m:r>
                </m:sub>
              </m:sSub>
            </m:e>
          </m:nary>
          <m:r>
            <w:rPr>
              <w:rFonts w:ascii="Cambria Math" w:eastAsia="Times New Roman" w:hAnsi="Cambria Math" w:cs="Arial"/>
              <w:sz w:val="20"/>
              <w:szCs w:val="20"/>
              <w:lang w:val="es-MX" w:eastAsia="es-ES"/>
            </w:rPr>
            <m:t>*</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Exposici</m:t>
              </m:r>
              <m:r>
                <w:rPr>
                  <w:rFonts w:ascii="Cambria Math" w:eastAsia="Times New Roman" w:hAnsi="Cambria Math" w:cs="Arial"/>
                  <w:sz w:val="20"/>
                  <w:szCs w:val="20"/>
                  <w:lang w:val="es-MX" w:eastAsia="es-ES"/>
                </w:rPr>
                <m:t>ó</m:t>
              </m:r>
              <m:r>
                <w:rPr>
                  <w:rFonts w:ascii="Cambria Math" w:eastAsia="Times New Roman" w:hAnsi="Cambria Math" w:cs="Arial"/>
                  <w:sz w:val="20"/>
                  <w:szCs w:val="20"/>
                  <w:lang w:val="es-MX" w:eastAsia="es-ES"/>
                </w:rPr>
                <m:t>n</m:t>
              </m:r>
            </m:e>
            <m:sub>
              <m:r>
                <w:rPr>
                  <w:rFonts w:ascii="Cambria Math" w:eastAsia="Times New Roman" w:hAnsi="Cambria Math" w:cs="Arial"/>
                  <w:sz w:val="20"/>
                  <w:szCs w:val="20"/>
                  <w:lang w:val="es-MX" w:eastAsia="es-ES"/>
                </w:rPr>
                <m:t>n</m:t>
              </m:r>
            </m:sub>
          </m:sSub>
          <m:r>
            <w:rPr>
              <w:rFonts w:ascii="Cambria Math" w:eastAsia="Times New Roman" w:hAnsi="Cambria Math" w:cs="Arial"/>
              <w:sz w:val="20"/>
              <w:szCs w:val="20"/>
              <w:lang w:val="es-MX" w:eastAsia="es-ES"/>
            </w:rPr>
            <m:t xml:space="preserve"> </m:t>
          </m:r>
        </m:oMath>
      </m:oMathPara>
    </w:p>
    <w:p w14:paraId="51F44A2F" w14:textId="77777777" w:rsidR="00385B5F" w:rsidRDefault="00385B5F" w:rsidP="00DC17E7">
      <w:pPr>
        <w:spacing w:after="0" w:line="240" w:lineRule="auto"/>
        <w:jc w:val="both"/>
        <w:rPr>
          <w:rFonts w:ascii="Verdana" w:eastAsia="Times New Roman" w:hAnsi="Verdana" w:cs="Arial"/>
          <w:sz w:val="20"/>
          <w:szCs w:val="20"/>
          <w:lang w:val="es-MX" w:eastAsia="es-ES"/>
        </w:rPr>
      </w:pPr>
    </w:p>
    <w:p w14:paraId="177393A1" w14:textId="0D2EA81E"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Donde:</w:t>
      </w:r>
    </w:p>
    <w:p w14:paraId="47F347C7"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5B157149" w14:textId="2DAB83C4"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icr</m:t>
            </m:r>
          </m:sub>
        </m:sSub>
      </m:oMath>
      <w:r w:rsidR="00DC17E7" w:rsidRPr="00653E80">
        <w:rPr>
          <w:rFonts w:ascii="Verdana" w:eastAsia="Times New Roman" w:hAnsi="Verdana" w:cs="Arial"/>
          <w:sz w:val="20"/>
          <w:szCs w:val="20"/>
          <w:lang w:val="es-MX" w:eastAsia="es-ES"/>
        </w:rPr>
        <w:t>:</w:t>
      </w:r>
      <w:r w:rsidR="00DC17E7" w:rsidRPr="00653E80">
        <w:rPr>
          <w:rFonts w:ascii="Verdana" w:eastAsia="Times New Roman" w:hAnsi="Verdana" w:cs="Arial"/>
          <w:sz w:val="20"/>
          <w:szCs w:val="20"/>
          <w:lang w:val="es-MX" w:eastAsia="es-ES"/>
        </w:rPr>
        <w:tab/>
      </w:r>
      <w:r w:rsidR="00183B65">
        <w:rPr>
          <w:rFonts w:ascii="Verdana" w:eastAsia="Times New Roman" w:hAnsi="Verdana" w:cs="Arial"/>
          <w:sz w:val="20"/>
          <w:szCs w:val="20"/>
          <w:lang w:val="es-MX" w:eastAsia="es-ES"/>
        </w:rPr>
        <w:t>es el v</w:t>
      </w:r>
      <w:r w:rsidR="00DC17E7" w:rsidRPr="00653E80">
        <w:rPr>
          <w:rFonts w:ascii="Verdana" w:eastAsia="Times New Roman" w:hAnsi="Verdana" w:cs="Arial"/>
          <w:sz w:val="20"/>
          <w:szCs w:val="20"/>
          <w:lang w:val="es-MX" w:eastAsia="es-ES"/>
        </w:rPr>
        <w:t xml:space="preserve">alor en riesgo para el componente i de la curva de referencia específica, con i = 1, 2, 3. </w:t>
      </w:r>
    </w:p>
    <w:p w14:paraId="315B19DC" w14:textId="77777777" w:rsidR="00183B65" w:rsidRDefault="00183B65" w:rsidP="00DC17E7">
      <w:pPr>
        <w:spacing w:after="0" w:line="240" w:lineRule="auto"/>
        <w:jc w:val="both"/>
        <w:rPr>
          <w:rFonts w:ascii="Verdana" w:eastAsia="Times New Roman" w:hAnsi="Verdana" w:cs="Arial"/>
          <w:sz w:val="20"/>
          <w:szCs w:val="20"/>
          <w:lang w:val="es-MX" w:eastAsia="es-ES"/>
        </w:rPr>
      </w:pPr>
    </w:p>
    <w:p w14:paraId="60A7EF1C" w14:textId="2809986F"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C</m:t>
            </m:r>
            <m:r>
              <w:rPr>
                <w:rFonts w:ascii="Cambria Math" w:eastAsia="Times New Roman" w:hAnsi="Cambria Math" w:cs="Arial"/>
                <w:sz w:val="20"/>
                <w:szCs w:val="20"/>
                <w:lang w:val="es-MX" w:eastAsia="es-ES"/>
              </w:rPr>
              <m:t>h</m:t>
            </m:r>
            <m:r>
              <w:rPr>
                <w:rFonts w:ascii="Cambria Math" w:eastAsia="Times New Roman" w:hAnsi="Cambria Math" w:cs="Arial"/>
                <w:sz w:val="20"/>
                <w:szCs w:val="20"/>
                <w:lang w:val="es-MX" w:eastAsia="es-ES"/>
              </w:rPr>
              <m:t>oque</m:t>
            </m:r>
          </m:e>
          <m:sub>
            <m:r>
              <w:rPr>
                <w:rFonts w:ascii="Cambria Math" w:eastAsia="Times New Roman" w:hAnsi="Cambria Math" w:cs="Arial"/>
                <w:sz w:val="20"/>
                <w:szCs w:val="20"/>
                <w:lang w:val="es-MX" w:eastAsia="es-ES"/>
              </w:rPr>
              <m:t>in</m:t>
            </m:r>
          </m:sub>
        </m:sSub>
      </m:oMath>
      <w:r w:rsidR="00183B65">
        <w:rPr>
          <w:rFonts w:ascii="Verdana" w:eastAsia="Times New Roman" w:hAnsi="Verdana" w:cs="Arial"/>
          <w:bCs/>
          <w:sz w:val="20"/>
          <w:szCs w:val="20"/>
          <w:lang w:val="es-MX" w:eastAsia="es-ES"/>
        </w:rPr>
        <w:t>: es el</w:t>
      </w:r>
      <w:r w:rsidR="00DC17E7" w:rsidRPr="00653E80">
        <w:rPr>
          <w:rFonts w:ascii="Verdana" w:eastAsia="Times New Roman" w:hAnsi="Verdana" w:cs="Arial"/>
          <w:sz w:val="20"/>
          <w:szCs w:val="20"/>
          <w:lang w:val="es-MX" w:eastAsia="es-ES"/>
        </w:rPr>
        <w:t xml:space="preserve"> </w:t>
      </w:r>
      <w:r w:rsidR="00183B65">
        <w:rPr>
          <w:rFonts w:ascii="Verdana" w:eastAsia="Times New Roman" w:hAnsi="Verdana" w:cs="Arial"/>
          <w:sz w:val="20"/>
          <w:szCs w:val="20"/>
          <w:lang w:val="es-MX" w:eastAsia="es-ES"/>
        </w:rPr>
        <w:t>c</w:t>
      </w:r>
      <w:r w:rsidR="00DC17E7" w:rsidRPr="00653E80">
        <w:rPr>
          <w:rFonts w:ascii="Verdana" w:eastAsia="Times New Roman" w:hAnsi="Verdana" w:cs="Arial"/>
          <w:sz w:val="20"/>
          <w:szCs w:val="20"/>
          <w:lang w:val="es-MX" w:eastAsia="es-ES"/>
        </w:rPr>
        <w:t xml:space="preserve">hoque del componente i para el nodo n, con n= </w:t>
      </w:r>
      <w:proofErr w:type="gramStart"/>
      <w:r w:rsidR="00DC17E7" w:rsidRPr="00653E80">
        <w:rPr>
          <w:rFonts w:ascii="Verdana" w:eastAsia="Times New Roman" w:hAnsi="Verdana" w:cs="Arial"/>
          <w:sz w:val="20"/>
          <w:szCs w:val="20"/>
          <w:lang w:val="es-MX" w:eastAsia="es-ES"/>
        </w:rPr>
        <w:t>1,…</w:t>
      </w:r>
      <w:proofErr w:type="gramEnd"/>
      <w:r w:rsidR="00DC17E7" w:rsidRPr="00653E80">
        <w:rPr>
          <w:rFonts w:ascii="Verdana" w:eastAsia="Times New Roman" w:hAnsi="Verdana" w:cs="Arial"/>
          <w:sz w:val="20"/>
          <w:szCs w:val="20"/>
          <w:lang w:val="es-MX" w:eastAsia="es-ES"/>
        </w:rPr>
        <w:t>,9</w:t>
      </w:r>
    </w:p>
    <w:p w14:paraId="113A1568" w14:textId="77777777" w:rsidR="00183B65" w:rsidRDefault="00183B65" w:rsidP="00DC17E7">
      <w:pPr>
        <w:spacing w:after="0" w:line="240" w:lineRule="auto"/>
        <w:jc w:val="both"/>
        <w:rPr>
          <w:rFonts w:ascii="Verdana" w:eastAsia="Times New Roman" w:hAnsi="Verdana" w:cs="Arial"/>
          <w:sz w:val="20"/>
          <w:szCs w:val="20"/>
          <w:lang w:val="es-MX" w:eastAsia="es-ES"/>
        </w:rPr>
      </w:pPr>
    </w:p>
    <w:p w14:paraId="258CED19" w14:textId="73AD5711" w:rsidR="00DC17E7" w:rsidRPr="0064369E" w:rsidRDefault="00D556B2" w:rsidP="00DC17E7">
      <w:pPr>
        <w:spacing w:after="0" w:line="240" w:lineRule="auto"/>
        <w:jc w:val="both"/>
        <w:rPr>
          <w:rFonts w:ascii="Verdana" w:eastAsia="Times New Roman" w:hAnsi="Verdana" w:cs="Arial"/>
          <w:b/>
          <w:bCs/>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Exposici</m:t>
            </m:r>
            <m:r>
              <w:rPr>
                <w:rFonts w:ascii="Cambria Math" w:eastAsia="Times New Roman" w:hAnsi="Cambria Math" w:cs="Arial"/>
                <w:sz w:val="20"/>
                <w:szCs w:val="20"/>
                <w:lang w:val="es-MX" w:eastAsia="es-ES"/>
              </w:rPr>
              <m:t>ó</m:t>
            </m:r>
            <m:r>
              <w:rPr>
                <w:rFonts w:ascii="Cambria Math" w:eastAsia="Times New Roman" w:hAnsi="Cambria Math" w:cs="Arial"/>
                <w:sz w:val="20"/>
                <w:szCs w:val="20"/>
                <w:lang w:val="es-MX" w:eastAsia="es-ES"/>
              </w:rPr>
              <m:t>n</m:t>
            </m:r>
          </m:e>
          <m:sub>
            <m:r>
              <w:rPr>
                <w:rFonts w:ascii="Cambria Math" w:eastAsia="Times New Roman" w:hAnsi="Cambria Math" w:cs="Arial"/>
                <w:sz w:val="20"/>
                <w:szCs w:val="20"/>
                <w:lang w:val="es-MX" w:eastAsia="es-ES"/>
              </w:rPr>
              <m:t>n</m:t>
            </m:r>
          </m:sub>
        </m:sSub>
        <m:r>
          <w:rPr>
            <w:rFonts w:ascii="Cambria Math" w:eastAsia="Times New Roman" w:hAnsi="Cambria Math" w:cs="Arial"/>
            <w:sz w:val="20"/>
            <w:szCs w:val="20"/>
            <w:lang w:val="es-MX" w:eastAsia="es-ES"/>
          </w:rPr>
          <m:t xml:space="preserve"> </m:t>
        </m:r>
      </m:oMath>
      <w:r w:rsidR="00183B65">
        <w:rPr>
          <w:rFonts w:ascii="Verdana" w:eastAsia="Times New Roman" w:hAnsi="Verdana" w:cs="Arial"/>
          <w:bCs/>
          <w:sz w:val="20"/>
          <w:szCs w:val="20"/>
          <w:lang w:val="es-MX" w:eastAsia="es-ES"/>
        </w:rPr>
        <w:t xml:space="preserve">: es la </w:t>
      </w:r>
      <w:r w:rsidR="00DC17E7" w:rsidRPr="00653E80">
        <w:rPr>
          <w:rFonts w:ascii="Verdana" w:eastAsia="Times New Roman" w:hAnsi="Verdana" w:cs="Arial"/>
          <w:sz w:val="20"/>
          <w:szCs w:val="20"/>
          <w:lang w:val="es-MX" w:eastAsia="es-ES"/>
        </w:rPr>
        <w:t>sumatoria total (exposición neta) de los flujos ubicados en el nodo n</w:t>
      </w:r>
    </w:p>
    <w:p w14:paraId="2A70AF73" w14:textId="77777777" w:rsidR="00DC17E7" w:rsidRPr="0064369E" w:rsidRDefault="00DC17E7" w:rsidP="00DC17E7">
      <w:pPr>
        <w:spacing w:after="0" w:line="240" w:lineRule="auto"/>
        <w:jc w:val="both"/>
        <w:rPr>
          <w:rFonts w:ascii="Verdana" w:hAnsi="Verdana" w:cs="Arial"/>
          <w:b/>
          <w:bCs/>
          <w:sz w:val="20"/>
          <w:szCs w:val="20"/>
          <w:lang w:val="es-MX"/>
        </w:rPr>
      </w:pPr>
    </w:p>
    <w:p w14:paraId="7E0EBE84" w14:textId="223C1274" w:rsidR="00DC17E7" w:rsidRPr="0064369E" w:rsidRDefault="00DC17E7" w:rsidP="00B05266">
      <w:pPr>
        <w:pStyle w:val="Prrafodelista"/>
        <w:numPr>
          <w:ilvl w:val="0"/>
          <w:numId w:val="47"/>
        </w:numPr>
        <w:spacing w:after="0"/>
        <w:ind w:left="567" w:hanging="283"/>
        <w:rPr>
          <w:rFonts w:ascii="Verdana" w:hAnsi="Verdana"/>
          <w:b/>
          <w:bCs/>
          <w:sz w:val="20"/>
          <w:szCs w:val="20"/>
        </w:rPr>
      </w:pPr>
      <w:r w:rsidRPr="0064369E">
        <w:rPr>
          <w:rFonts w:ascii="Verdana" w:eastAsia="Times New Roman" w:hAnsi="Verdana" w:cs="Arial"/>
          <w:b/>
          <w:bCs/>
          <w:sz w:val="20"/>
          <w:szCs w:val="20"/>
          <w:lang w:val="es-MX" w:eastAsia="es-ES"/>
        </w:rPr>
        <w:t>Cálculo de la sensibilidad al riesgo de posiciones indexadas a DTF</w:t>
      </w:r>
      <w:r w:rsidR="00171EAE">
        <w:rPr>
          <w:rFonts w:ascii="Verdana" w:eastAsia="Times New Roman" w:hAnsi="Verdana" w:cs="Arial"/>
          <w:b/>
          <w:bCs/>
          <w:sz w:val="20"/>
          <w:szCs w:val="20"/>
          <w:lang w:val="es-MX" w:eastAsia="es-ES"/>
        </w:rPr>
        <w:t>,</w:t>
      </w:r>
      <w:r w:rsidRPr="0064369E">
        <w:rPr>
          <w:rFonts w:ascii="Verdana" w:eastAsia="Times New Roman" w:hAnsi="Verdana" w:cs="Arial"/>
          <w:b/>
          <w:bCs/>
          <w:sz w:val="20"/>
          <w:szCs w:val="20"/>
          <w:lang w:val="es-MX" w:eastAsia="es-ES"/>
        </w:rPr>
        <w:t xml:space="preserve"> </w:t>
      </w:r>
      <w:r w:rsidR="00CF7CBF">
        <w:rPr>
          <w:rFonts w:ascii="Verdana" w:eastAsia="Times New Roman" w:hAnsi="Verdana" w:cs="Arial"/>
          <w:b/>
          <w:bCs/>
          <w:sz w:val="20"/>
          <w:szCs w:val="20"/>
          <w:lang w:val="es-MX" w:eastAsia="es-ES"/>
        </w:rPr>
        <w:t xml:space="preserve">IBR e </w:t>
      </w:r>
      <w:r w:rsidRPr="0064369E">
        <w:rPr>
          <w:rFonts w:ascii="Verdana" w:eastAsia="Times New Roman" w:hAnsi="Verdana" w:cs="Arial"/>
          <w:b/>
          <w:bCs/>
          <w:sz w:val="20"/>
          <w:szCs w:val="20"/>
          <w:lang w:val="es-MX" w:eastAsia="es-ES"/>
        </w:rPr>
        <w:t>IPC</w:t>
      </w:r>
    </w:p>
    <w:p w14:paraId="16AFC145"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6F963C85" w14:textId="5829DE42" w:rsidR="00DC17E7" w:rsidRPr="00653E80" w:rsidRDefault="00D556B2" w:rsidP="00DC17E7">
      <w:pPr>
        <w:spacing w:after="0" w:line="240" w:lineRule="auto"/>
        <w:jc w:val="both"/>
        <w:rPr>
          <w:rFonts w:ascii="Verdana" w:eastAsia="Times New Roman" w:hAnsi="Verdana" w:cs="Arial"/>
          <w:sz w:val="20"/>
          <w:szCs w:val="20"/>
          <w:lang w:val="es-MX" w:eastAsia="es-ES"/>
        </w:rPr>
      </w:pPr>
      <m:oMathPara>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EF</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*(2,33*</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oMath>
      </m:oMathPara>
    </w:p>
    <w:p w14:paraId="0A0F11E9"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2D993D93" w14:textId="05E244FE" w:rsidR="00385B5F" w:rsidRDefault="00385B5F" w:rsidP="00DC17E7">
      <w:pPr>
        <w:spacing w:after="0" w:line="240" w:lineRule="auto"/>
        <w:jc w:val="both"/>
        <w:rPr>
          <w:rFonts w:ascii="Verdana" w:eastAsia="Times New Roman" w:hAnsi="Verdana" w:cs="Arial"/>
          <w:sz w:val="20"/>
          <w:szCs w:val="20"/>
          <w:lang w:val="es-MX" w:eastAsia="es-ES"/>
        </w:rPr>
      </w:pPr>
      <w:r>
        <w:rPr>
          <w:rFonts w:ascii="Verdana" w:eastAsia="Times New Roman" w:hAnsi="Verdana" w:cs="Arial"/>
          <w:sz w:val="20"/>
          <w:szCs w:val="20"/>
          <w:lang w:val="es-MX" w:eastAsia="es-ES"/>
        </w:rPr>
        <w:t>Donde:</w:t>
      </w:r>
    </w:p>
    <w:p w14:paraId="16D0E743" w14:textId="77777777" w:rsidR="00385B5F" w:rsidRPr="00653E80" w:rsidRDefault="00385B5F" w:rsidP="00DC17E7">
      <w:pPr>
        <w:spacing w:after="0" w:line="240" w:lineRule="auto"/>
        <w:jc w:val="both"/>
        <w:rPr>
          <w:rFonts w:ascii="Verdana" w:eastAsia="Times New Roman" w:hAnsi="Verdana" w:cs="Arial"/>
          <w:sz w:val="20"/>
          <w:szCs w:val="20"/>
          <w:lang w:val="es-MX" w:eastAsia="es-ES"/>
        </w:rPr>
      </w:pPr>
    </w:p>
    <w:p w14:paraId="7F2EC725" w14:textId="4DB730BD"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oMath>
      <w:r w:rsidR="00590969">
        <w:rPr>
          <w:rFonts w:ascii="Verdana" w:eastAsia="Times New Roman" w:hAnsi="Verdana" w:cs="Arial"/>
          <w:bCs/>
          <w:sz w:val="20"/>
          <w:szCs w:val="20"/>
          <w:lang w:val="es-MX" w:eastAsia="es-ES"/>
        </w:rPr>
        <w:t>: es el v</w:t>
      </w:r>
      <w:r w:rsidR="00DC17E7" w:rsidRPr="00653E80">
        <w:rPr>
          <w:rFonts w:ascii="Verdana" w:eastAsia="Times New Roman" w:hAnsi="Verdana" w:cs="Arial"/>
          <w:sz w:val="20"/>
          <w:szCs w:val="20"/>
          <w:lang w:val="es-MX" w:eastAsia="es-ES"/>
        </w:rPr>
        <w:t>alor en riesgo individual por exposición a tasa de interés del factor i, con i = DTF, IBR, IPC.</w:t>
      </w:r>
    </w:p>
    <w:p w14:paraId="5256A121" w14:textId="77777777" w:rsidR="00590969" w:rsidRDefault="00590969" w:rsidP="00DC17E7">
      <w:pPr>
        <w:spacing w:after="0" w:line="240" w:lineRule="auto"/>
        <w:jc w:val="both"/>
        <w:rPr>
          <w:rFonts w:ascii="Verdana" w:eastAsia="Times New Roman" w:hAnsi="Verdana" w:cs="Arial"/>
          <w:sz w:val="20"/>
          <w:szCs w:val="20"/>
          <w:lang w:val="es-MX" w:eastAsia="es-ES"/>
        </w:rPr>
      </w:pPr>
    </w:p>
    <w:p w14:paraId="409ADCCA" w14:textId="34726DAB" w:rsidR="00DC17E7"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EF</m:t>
            </m:r>
          </m:e>
          <m:sub>
            <m:r>
              <w:rPr>
                <w:rFonts w:ascii="Cambria Math" w:eastAsia="Times New Roman" w:hAnsi="Cambria Math" w:cs="Arial"/>
                <w:sz w:val="20"/>
                <w:szCs w:val="20"/>
                <w:lang w:val="es-MX" w:eastAsia="es-ES"/>
              </w:rPr>
              <m:t>i</m:t>
            </m:r>
          </m:sub>
        </m:sSub>
      </m:oMath>
      <w:r w:rsidR="00590969">
        <w:rPr>
          <w:rFonts w:ascii="Verdana" w:eastAsia="Times New Roman" w:hAnsi="Verdana" w:cs="Arial"/>
          <w:bCs/>
          <w:sz w:val="20"/>
          <w:szCs w:val="20"/>
          <w:lang w:val="es-MX" w:eastAsia="es-ES"/>
        </w:rPr>
        <w:t>: es la</w:t>
      </w:r>
      <w:r w:rsidR="00DC17E7" w:rsidRPr="00653E80">
        <w:rPr>
          <w:rFonts w:ascii="Verdana" w:eastAsia="Times New Roman" w:hAnsi="Verdana" w:cs="Arial"/>
          <w:sz w:val="20"/>
          <w:szCs w:val="20"/>
          <w:lang w:val="es-MX" w:eastAsia="es-ES"/>
        </w:rPr>
        <w:t xml:space="preserve"> </w:t>
      </w:r>
      <w:r w:rsidR="00590969">
        <w:rPr>
          <w:rFonts w:ascii="Verdana" w:eastAsia="Times New Roman" w:hAnsi="Verdana" w:cs="Arial"/>
          <w:sz w:val="20"/>
          <w:szCs w:val="20"/>
          <w:lang w:val="es-MX" w:eastAsia="es-ES"/>
        </w:rPr>
        <w:t>e</w:t>
      </w:r>
      <w:r w:rsidR="00DC17E7" w:rsidRPr="00653E80">
        <w:rPr>
          <w:rFonts w:ascii="Verdana" w:eastAsia="Times New Roman" w:hAnsi="Verdana" w:cs="Arial"/>
          <w:sz w:val="20"/>
          <w:szCs w:val="20"/>
          <w:lang w:val="es-MX" w:eastAsia="es-ES"/>
        </w:rPr>
        <w:t>xposición al factor i, i = DTF, IBR, IPC.</w:t>
      </w:r>
    </w:p>
    <w:p w14:paraId="16BE8F96" w14:textId="77777777" w:rsidR="00F3273D" w:rsidRPr="00653E80" w:rsidRDefault="00F3273D" w:rsidP="00DC17E7">
      <w:pPr>
        <w:spacing w:after="0" w:line="240" w:lineRule="auto"/>
        <w:jc w:val="both"/>
        <w:rPr>
          <w:rFonts w:ascii="Verdana" w:eastAsia="Times New Roman" w:hAnsi="Verdana" w:cs="Arial"/>
          <w:sz w:val="20"/>
          <w:szCs w:val="20"/>
          <w:lang w:val="es-MX" w:eastAsia="es-ES"/>
        </w:rPr>
      </w:pPr>
    </w:p>
    <w:p w14:paraId="1014FF16" w14:textId="6BDFB689"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oMath>
      <w:r w:rsidR="00590969">
        <w:rPr>
          <w:rFonts w:ascii="Verdana" w:eastAsia="Times New Roman" w:hAnsi="Verdana" w:cs="Arial"/>
          <w:bCs/>
          <w:sz w:val="20"/>
          <w:szCs w:val="20"/>
          <w:lang w:val="es-MX" w:eastAsia="es-ES"/>
        </w:rPr>
        <w:t>:</w:t>
      </w:r>
      <w:r w:rsidR="00F3273D">
        <w:rPr>
          <w:rFonts w:ascii="Verdana" w:eastAsia="Times New Roman" w:hAnsi="Verdana" w:cs="Arial"/>
          <w:bCs/>
          <w:sz w:val="20"/>
          <w:szCs w:val="20"/>
          <w:lang w:val="es-MX" w:eastAsia="es-ES"/>
        </w:rPr>
        <w:t xml:space="preserve"> es la v</w:t>
      </w:r>
      <w:r w:rsidR="00DC17E7" w:rsidRPr="00653E80">
        <w:rPr>
          <w:rFonts w:ascii="Verdana" w:eastAsia="Times New Roman" w:hAnsi="Verdana" w:cs="Arial"/>
          <w:sz w:val="20"/>
          <w:szCs w:val="20"/>
          <w:lang w:val="es-MX" w:eastAsia="es-ES"/>
        </w:rPr>
        <w:t>olatilidad asociada al factor de riesgo i.</w:t>
      </w:r>
    </w:p>
    <w:p w14:paraId="339B6F57" w14:textId="77777777" w:rsidR="00DC17E7" w:rsidRDefault="00DC17E7" w:rsidP="00DC17E7">
      <w:pPr>
        <w:spacing w:after="0" w:line="240" w:lineRule="auto"/>
        <w:contextualSpacing/>
        <w:jc w:val="both"/>
        <w:rPr>
          <w:rFonts w:ascii="Verdana" w:eastAsia="Times New Roman" w:hAnsi="Verdana" w:cs="Arial"/>
          <w:b/>
          <w:sz w:val="20"/>
          <w:szCs w:val="20"/>
          <w:lang w:val="es-ES" w:eastAsia="es-ES"/>
        </w:rPr>
      </w:pPr>
    </w:p>
    <w:p w14:paraId="6D0B3ADD" w14:textId="77777777"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r w:rsidRPr="00653E80">
        <w:rPr>
          <w:rFonts w:ascii="Verdana" w:eastAsia="Times New Roman" w:hAnsi="Verdana" w:cs="Arial"/>
          <w:b/>
          <w:sz w:val="20"/>
          <w:szCs w:val="20"/>
          <w:lang w:val="es-ES" w:eastAsia="es-ES"/>
        </w:rPr>
        <w:t>Evaluación del riesgo de tasa de cambio</w:t>
      </w:r>
    </w:p>
    <w:p w14:paraId="62DE1D74" w14:textId="77777777" w:rsidR="00DC17E7" w:rsidRDefault="00DC17E7" w:rsidP="00DC17E7">
      <w:pPr>
        <w:spacing w:after="0" w:line="240" w:lineRule="auto"/>
        <w:jc w:val="both"/>
        <w:rPr>
          <w:rFonts w:ascii="Verdana" w:eastAsia="Times New Roman" w:hAnsi="Verdana" w:cs="Arial"/>
          <w:b/>
          <w:bCs/>
          <w:sz w:val="20"/>
          <w:szCs w:val="20"/>
          <w:lang w:val="es-MX" w:eastAsia="es-ES"/>
        </w:rPr>
      </w:pPr>
    </w:p>
    <w:p w14:paraId="7E1CDE01" w14:textId="2DF47CC8"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58</w:t>
      </w:r>
      <w:r w:rsidRPr="000E0B7B">
        <w:rPr>
          <w:rFonts w:ascii="Verdana" w:hAnsi="Verdana"/>
          <w:sz w:val="20"/>
          <w:szCs w:val="20"/>
        </w:rPr>
        <w:t>.</w:t>
      </w:r>
    </w:p>
    <w:p w14:paraId="347DB7A9" w14:textId="6ABA8518"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El presente apartado muestra la metodología para medir la exposición al riesgo de mercado asociado a tomar o mantener posiciones denominadas en monedas extranjeras, tanto en el libro de tesorería como en el libro bancario. Para calcular esta </w:t>
      </w:r>
      <w:r w:rsidRPr="00221CD1">
        <w:rPr>
          <w:rFonts w:ascii="Verdana" w:eastAsia="Times New Roman" w:hAnsi="Verdana" w:cs="Arial"/>
          <w:sz w:val="20"/>
          <w:szCs w:val="20"/>
          <w:lang w:val="es-MX" w:eastAsia="es-ES"/>
        </w:rPr>
        <w:t xml:space="preserve">exposición, se deben tener en cuenta </w:t>
      </w:r>
      <w:r w:rsidR="00221CD1" w:rsidRPr="00221CD1">
        <w:rPr>
          <w:rFonts w:ascii="Verdana" w:eastAsia="Times New Roman" w:hAnsi="Verdana" w:cs="Arial"/>
          <w:sz w:val="20"/>
          <w:szCs w:val="20"/>
          <w:lang w:val="es-MX" w:eastAsia="es-ES"/>
        </w:rPr>
        <w:t>las siguientes instrucciones</w:t>
      </w:r>
      <w:r w:rsidR="00FF2BD4">
        <w:rPr>
          <w:rFonts w:ascii="Verdana" w:eastAsia="Times New Roman" w:hAnsi="Verdana" w:cs="Arial"/>
          <w:sz w:val="20"/>
          <w:szCs w:val="20"/>
          <w:lang w:val="es-MX" w:eastAsia="es-ES"/>
        </w:rPr>
        <w:t>.</w:t>
      </w:r>
    </w:p>
    <w:p w14:paraId="55FBAC6E"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3312D03A" w14:textId="68AB7436"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59</w:t>
      </w:r>
      <w:r w:rsidRPr="000E0B7B">
        <w:rPr>
          <w:rFonts w:ascii="Verdana" w:hAnsi="Verdana"/>
          <w:sz w:val="20"/>
          <w:szCs w:val="20"/>
        </w:rPr>
        <w:t>.</w:t>
      </w:r>
    </w:p>
    <w:p w14:paraId="73CB19DC"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Las entidades podrán excluir el valor de la porción descubierta de sus inversiones controladas en el exterior, de las posiciones del libro bancario. Para el efecto, a exclusión o cualquier cambio en el monto excluido requerirá de la aprobación previa de la junta </w:t>
      </w:r>
      <w:r w:rsidRPr="00653E80">
        <w:rPr>
          <w:rFonts w:ascii="Verdana" w:eastAsia="Times New Roman" w:hAnsi="Verdana" w:cs="Arial"/>
          <w:sz w:val="20"/>
          <w:szCs w:val="20"/>
          <w:lang w:val="es-MX" w:eastAsia="es-ES"/>
        </w:rPr>
        <w:lastRenderedPageBreak/>
        <w:t>directiva, debidamente sustentada. Dicha decisión deberá ser informada a la SFC dentro de los 10 días comunes siguientes a su aprobación, indicando la fecha en la cual tendrá efecto la decisión.</w:t>
      </w:r>
    </w:p>
    <w:p w14:paraId="51ABF020"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4C27E858" w14:textId="72497771"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60</w:t>
      </w:r>
      <w:r w:rsidRPr="000E0B7B">
        <w:rPr>
          <w:rFonts w:ascii="Verdana" w:hAnsi="Verdana"/>
          <w:sz w:val="20"/>
          <w:szCs w:val="20"/>
        </w:rPr>
        <w:t>.</w:t>
      </w:r>
    </w:p>
    <w:p w14:paraId="32096750"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La exclusión debe cumplir con las siguientes condiciones:</w:t>
      </w:r>
    </w:p>
    <w:p w14:paraId="2DCD3EC2"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35ED5206" w14:textId="77777777" w:rsidR="00DC17E7" w:rsidRDefault="00DC17E7" w:rsidP="00DC17E7">
      <w:pPr>
        <w:pStyle w:val="Prrafodelista"/>
        <w:numPr>
          <w:ilvl w:val="0"/>
          <w:numId w:val="7"/>
        </w:numPr>
        <w:tabs>
          <w:tab w:val="left" w:pos="567"/>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El monto definido por la entidad para la exclusión no puede exceder la diferencia entre:</w:t>
      </w:r>
    </w:p>
    <w:p w14:paraId="6C7076D6" w14:textId="77777777" w:rsidR="00DC17E7" w:rsidRPr="00653E80" w:rsidRDefault="00DC17E7" w:rsidP="00DC17E7">
      <w:pPr>
        <w:pStyle w:val="Prrafodelista"/>
        <w:tabs>
          <w:tab w:val="left" w:pos="567"/>
        </w:tabs>
        <w:spacing w:after="0" w:line="240" w:lineRule="auto"/>
        <w:ind w:left="567"/>
        <w:jc w:val="both"/>
        <w:rPr>
          <w:rFonts w:ascii="Verdana" w:eastAsia="Times New Roman" w:hAnsi="Verdana" w:cs="Arial"/>
          <w:sz w:val="20"/>
          <w:szCs w:val="20"/>
          <w:lang w:val="es-MX" w:eastAsia="es-ES"/>
        </w:rPr>
      </w:pPr>
    </w:p>
    <w:p w14:paraId="318BD499" w14:textId="77777777" w:rsidR="00DC17E7" w:rsidRPr="009C1E9F" w:rsidRDefault="00DC17E7" w:rsidP="00DC17E7">
      <w:pPr>
        <w:pStyle w:val="Prrafodelista"/>
        <w:numPr>
          <w:ilvl w:val="0"/>
          <w:numId w:val="25"/>
        </w:numPr>
        <w:spacing w:after="0" w:line="240" w:lineRule="auto"/>
        <w:ind w:left="1134" w:hanging="567"/>
        <w:jc w:val="both"/>
        <w:rPr>
          <w:rFonts w:ascii="Verdana" w:eastAsia="Times New Roman" w:hAnsi="Verdana" w:cs="Arial"/>
          <w:sz w:val="20"/>
          <w:szCs w:val="20"/>
          <w:lang w:val="es-MX" w:eastAsia="es-ES"/>
        </w:rPr>
      </w:pPr>
      <w:r w:rsidRPr="009C1E9F">
        <w:rPr>
          <w:rFonts w:ascii="Verdana" w:eastAsia="Times New Roman" w:hAnsi="Verdana" w:cs="Arial"/>
          <w:sz w:val="20"/>
          <w:szCs w:val="20"/>
          <w:lang w:val="es-MX" w:eastAsia="es-ES"/>
        </w:rPr>
        <w:t xml:space="preserve">El valor de las inversiones controladas en el exterior, incluyendo cualquier concepto que pueda modificar dicho valor como el crédito mercantil, las valorizaciones y las ganancias o pérdidas, entre otros, con independencia del código contable que estén utilizando para el reporte de </w:t>
      </w:r>
      <w:proofErr w:type="gramStart"/>
      <w:r w:rsidRPr="009C1E9F">
        <w:rPr>
          <w:rFonts w:ascii="Verdana" w:eastAsia="Times New Roman" w:hAnsi="Verdana" w:cs="Arial"/>
          <w:sz w:val="20"/>
          <w:szCs w:val="20"/>
          <w:lang w:val="es-MX" w:eastAsia="es-ES"/>
        </w:rPr>
        <w:t>los mismos</w:t>
      </w:r>
      <w:proofErr w:type="gramEnd"/>
      <w:r w:rsidRPr="009C1E9F">
        <w:rPr>
          <w:rFonts w:ascii="Verdana" w:eastAsia="Times New Roman" w:hAnsi="Verdana" w:cs="Arial"/>
          <w:sz w:val="20"/>
          <w:szCs w:val="20"/>
          <w:lang w:val="es-MX" w:eastAsia="es-ES"/>
        </w:rPr>
        <w:t>. Para el efecto, el monto del crédito mercantil deberá incluirse tomando el valor que tenía al momento en que se generó, descontando los ajustes por deterioro, en la moneda en que está estipulada la inversión; y</w:t>
      </w:r>
    </w:p>
    <w:p w14:paraId="5C67B7F0" w14:textId="77777777" w:rsidR="00DC17E7" w:rsidRPr="00653E80" w:rsidRDefault="00DC17E7" w:rsidP="00DC17E7">
      <w:pPr>
        <w:spacing w:after="0" w:line="240" w:lineRule="auto"/>
        <w:ind w:left="1134" w:hanging="567"/>
        <w:jc w:val="both"/>
        <w:rPr>
          <w:rFonts w:ascii="Verdana" w:eastAsia="Times New Roman" w:hAnsi="Verdana" w:cs="Arial"/>
          <w:sz w:val="20"/>
          <w:szCs w:val="20"/>
          <w:lang w:val="es-MX" w:eastAsia="es-ES"/>
        </w:rPr>
      </w:pPr>
    </w:p>
    <w:p w14:paraId="12086189" w14:textId="77777777" w:rsidR="00DC17E7" w:rsidRPr="009C1E9F" w:rsidRDefault="00DC17E7" w:rsidP="00DC17E7">
      <w:pPr>
        <w:pStyle w:val="Prrafodelista"/>
        <w:numPr>
          <w:ilvl w:val="0"/>
          <w:numId w:val="25"/>
        </w:numPr>
        <w:spacing w:after="0" w:line="240" w:lineRule="auto"/>
        <w:ind w:left="1134" w:hanging="567"/>
        <w:jc w:val="both"/>
        <w:rPr>
          <w:rFonts w:ascii="Verdana" w:eastAsia="Times New Roman" w:hAnsi="Verdana" w:cs="Arial"/>
          <w:sz w:val="20"/>
          <w:szCs w:val="20"/>
          <w:lang w:val="es-MX" w:eastAsia="es-ES"/>
        </w:rPr>
      </w:pPr>
      <w:r w:rsidRPr="009C1E9F">
        <w:rPr>
          <w:rFonts w:ascii="Verdana" w:eastAsia="Times New Roman" w:hAnsi="Verdana" w:cs="Arial"/>
          <w:sz w:val="20"/>
          <w:szCs w:val="20"/>
          <w:lang w:val="es-MX" w:eastAsia="es-ES"/>
        </w:rPr>
        <w:t>El valor de los derivados y demás obligaciones designadas por el órgano competente de la entidad como instrumentos de cobertura de las inversiones controladas en el exterior, en cumplimiento de los requisitos de la contabilidad de coberturas de las NIIF, siempre que estos pasivos estén en la misma moneda en que está estipulada la inversión controlada en el exterior. El valor de estos pasivos no puede, en ningún caso, exceder el valor total actual de las inversiones controladas en el exterior, de tal forma que la exclusión no podrá ser una posición neta negativa.</w:t>
      </w:r>
    </w:p>
    <w:p w14:paraId="66927519" w14:textId="77777777" w:rsidR="00DC17E7" w:rsidRPr="00653E80" w:rsidRDefault="00DC17E7" w:rsidP="00DC17E7">
      <w:pPr>
        <w:spacing w:after="0" w:line="240" w:lineRule="auto"/>
        <w:ind w:left="1134" w:hanging="567"/>
        <w:jc w:val="both"/>
        <w:rPr>
          <w:rFonts w:ascii="Verdana" w:eastAsia="Times New Roman" w:hAnsi="Verdana" w:cs="Arial"/>
          <w:sz w:val="20"/>
          <w:szCs w:val="20"/>
          <w:lang w:val="es-MX" w:eastAsia="es-ES"/>
        </w:rPr>
      </w:pPr>
    </w:p>
    <w:p w14:paraId="1BA31FFE" w14:textId="77777777" w:rsidR="00DC17E7" w:rsidRPr="00653E80" w:rsidRDefault="00DC17E7" w:rsidP="00DC17E7">
      <w:pPr>
        <w:pStyle w:val="Prrafodelista"/>
        <w:numPr>
          <w:ilvl w:val="0"/>
          <w:numId w:val="7"/>
        </w:numPr>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La exclusión del cálculo debe mantenerse al menos por un periodo de 6 meses.</w:t>
      </w:r>
    </w:p>
    <w:p w14:paraId="5C0F19EE"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MX" w:eastAsia="es-ES"/>
        </w:rPr>
      </w:pPr>
    </w:p>
    <w:p w14:paraId="4A62A450" w14:textId="77777777" w:rsidR="00DC17E7" w:rsidRPr="00653E80" w:rsidRDefault="00DC17E7" w:rsidP="00DC17E7">
      <w:pPr>
        <w:pStyle w:val="Prrafodelista"/>
        <w:numPr>
          <w:ilvl w:val="0"/>
          <w:numId w:val="7"/>
        </w:numPr>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Cuando la entidad planee liquidar parcial o totalmente la inversión controlada en el exterior, deberá incluir en el cálculo del módulo de tasa de cambio, el valor de esta con una antelación mínima de 6 meses.</w:t>
      </w:r>
    </w:p>
    <w:p w14:paraId="3C4E9142" w14:textId="77777777" w:rsidR="00DC17E7" w:rsidRDefault="00DC17E7" w:rsidP="00DC17E7">
      <w:pPr>
        <w:pStyle w:val="Prrafodelista"/>
        <w:spacing w:after="0" w:line="240" w:lineRule="auto"/>
        <w:ind w:left="0"/>
        <w:jc w:val="both"/>
        <w:rPr>
          <w:rFonts w:ascii="Verdana" w:eastAsia="Times New Roman" w:hAnsi="Verdana" w:cs="Arial"/>
          <w:sz w:val="20"/>
          <w:szCs w:val="20"/>
          <w:lang w:val="es-MX" w:eastAsia="es-ES"/>
        </w:rPr>
      </w:pPr>
    </w:p>
    <w:p w14:paraId="2D276FEA" w14:textId="08DA9E7F" w:rsidR="00DC17E7" w:rsidRPr="000B41F1" w:rsidRDefault="00DC17E7" w:rsidP="000B41F1">
      <w:pPr>
        <w:pStyle w:val="Prrafodelista"/>
        <w:numPr>
          <w:ilvl w:val="0"/>
          <w:numId w:val="39"/>
        </w:numPr>
        <w:spacing w:after="0" w:line="240" w:lineRule="auto"/>
        <w:ind w:left="284" w:hanging="284"/>
        <w:jc w:val="both"/>
        <w:rPr>
          <w:rFonts w:ascii="Verdana" w:eastAsia="Times New Roman" w:hAnsi="Verdana" w:cs="Arial"/>
          <w:b/>
          <w:bCs/>
          <w:sz w:val="20"/>
          <w:szCs w:val="20"/>
          <w:lang w:val="es-MX" w:eastAsia="es-ES"/>
        </w:rPr>
      </w:pPr>
      <w:r w:rsidRPr="000B41F1">
        <w:rPr>
          <w:rFonts w:ascii="Verdana" w:eastAsia="Times New Roman" w:hAnsi="Verdana" w:cs="Arial"/>
          <w:b/>
          <w:bCs/>
          <w:sz w:val="20"/>
          <w:szCs w:val="20"/>
          <w:lang w:val="es-MX" w:eastAsia="es-ES"/>
        </w:rPr>
        <w:t xml:space="preserve">Factores de riesgo de </w:t>
      </w:r>
      <w:r w:rsidR="003B10D2">
        <w:rPr>
          <w:rFonts w:ascii="Verdana" w:eastAsia="Times New Roman" w:hAnsi="Verdana" w:cs="Arial"/>
          <w:b/>
          <w:bCs/>
          <w:sz w:val="20"/>
          <w:szCs w:val="20"/>
          <w:lang w:val="es-MX" w:eastAsia="es-ES"/>
        </w:rPr>
        <w:t>t</w:t>
      </w:r>
      <w:r w:rsidRPr="000B41F1">
        <w:rPr>
          <w:rFonts w:ascii="Verdana" w:eastAsia="Times New Roman" w:hAnsi="Verdana" w:cs="Arial"/>
          <w:b/>
          <w:bCs/>
          <w:sz w:val="20"/>
          <w:szCs w:val="20"/>
          <w:lang w:val="es-MX" w:eastAsia="es-ES"/>
        </w:rPr>
        <w:t xml:space="preserve">asa de </w:t>
      </w:r>
      <w:r w:rsidR="003B10D2">
        <w:rPr>
          <w:rFonts w:ascii="Verdana" w:eastAsia="Times New Roman" w:hAnsi="Verdana" w:cs="Arial"/>
          <w:b/>
          <w:bCs/>
          <w:sz w:val="20"/>
          <w:szCs w:val="20"/>
          <w:lang w:val="es-MX" w:eastAsia="es-ES"/>
        </w:rPr>
        <w:t>c</w:t>
      </w:r>
      <w:r w:rsidRPr="000B41F1">
        <w:rPr>
          <w:rFonts w:ascii="Verdana" w:eastAsia="Times New Roman" w:hAnsi="Verdana" w:cs="Arial"/>
          <w:b/>
          <w:bCs/>
          <w:sz w:val="20"/>
          <w:szCs w:val="20"/>
          <w:lang w:val="es-MX" w:eastAsia="es-ES"/>
        </w:rPr>
        <w:t>ambio</w:t>
      </w:r>
    </w:p>
    <w:p w14:paraId="6CF94FAD" w14:textId="77777777" w:rsidR="005E4060" w:rsidRDefault="005E4060" w:rsidP="00DC17E7">
      <w:pPr>
        <w:spacing w:after="0"/>
        <w:rPr>
          <w:rFonts w:ascii="Verdana" w:hAnsi="Verdana"/>
          <w:sz w:val="20"/>
          <w:szCs w:val="20"/>
        </w:rPr>
      </w:pPr>
    </w:p>
    <w:p w14:paraId="5CFD1CCD" w14:textId="4D523AE4"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6</w:t>
      </w:r>
      <w:r w:rsidR="002744E7">
        <w:rPr>
          <w:rFonts w:ascii="Verdana" w:hAnsi="Verdana"/>
          <w:sz w:val="20"/>
          <w:szCs w:val="20"/>
        </w:rPr>
        <w:t>1</w:t>
      </w:r>
      <w:r w:rsidRPr="000E0B7B">
        <w:rPr>
          <w:rFonts w:ascii="Verdana" w:hAnsi="Verdana"/>
          <w:sz w:val="20"/>
          <w:szCs w:val="20"/>
        </w:rPr>
        <w:t>.</w:t>
      </w:r>
    </w:p>
    <w:p w14:paraId="7546D889" w14:textId="038AA51F"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Las posiciones en moneda extranjera estarán sujetas a uno de los factores de riesgo mencionados a continuación.  Para estos efectos el valor de la posición que se tiene en la moneda original deberá convertirse a dólares de los Estados Unidos de América o a euros </w:t>
      </w:r>
      <w:r w:rsidRPr="001000CB">
        <w:rPr>
          <w:rFonts w:ascii="Verdana" w:eastAsia="Times New Roman" w:hAnsi="Verdana" w:cs="Arial"/>
          <w:sz w:val="20"/>
          <w:szCs w:val="20"/>
          <w:lang w:val="es-MX" w:eastAsia="es-ES"/>
        </w:rPr>
        <w:t>según sea el caso, con el fin de encontrar la exposición neta al respectivo factor de riesgo, tal como se expone en</w:t>
      </w:r>
      <w:r w:rsidR="00F548A1" w:rsidRPr="001000CB">
        <w:rPr>
          <w:rFonts w:ascii="Verdana" w:eastAsia="Times New Roman" w:hAnsi="Verdana" w:cs="Arial"/>
          <w:sz w:val="20"/>
          <w:szCs w:val="20"/>
          <w:lang w:val="es-MX" w:eastAsia="es-ES"/>
        </w:rPr>
        <w:t>tre l</w:t>
      </w:r>
      <w:r w:rsidR="00F548A1">
        <w:rPr>
          <w:rFonts w:ascii="Verdana" w:eastAsia="Times New Roman" w:hAnsi="Verdana" w:cs="Arial"/>
          <w:sz w:val="20"/>
          <w:szCs w:val="20"/>
          <w:lang w:val="es-MX" w:eastAsia="es-ES"/>
        </w:rPr>
        <w:t>os párrafos 1.1.A7.</w:t>
      </w:r>
      <w:r w:rsidR="00945732">
        <w:rPr>
          <w:rFonts w:ascii="Verdana" w:eastAsia="Times New Roman" w:hAnsi="Verdana" w:cs="Arial"/>
          <w:sz w:val="20"/>
          <w:szCs w:val="20"/>
          <w:lang w:val="es-MX" w:eastAsia="es-ES"/>
        </w:rPr>
        <w:t>65</w:t>
      </w:r>
      <w:r w:rsidR="00F548A1">
        <w:rPr>
          <w:rFonts w:ascii="Verdana" w:eastAsia="Times New Roman" w:hAnsi="Verdana" w:cs="Arial"/>
          <w:sz w:val="20"/>
          <w:szCs w:val="20"/>
          <w:lang w:val="es-MX" w:eastAsia="es-ES"/>
        </w:rPr>
        <w:t>. y 1.1.A7.</w:t>
      </w:r>
      <w:r w:rsidR="001000CB">
        <w:rPr>
          <w:rFonts w:ascii="Verdana" w:eastAsia="Times New Roman" w:hAnsi="Verdana" w:cs="Arial"/>
          <w:sz w:val="20"/>
          <w:szCs w:val="20"/>
          <w:lang w:val="es-MX" w:eastAsia="es-ES"/>
        </w:rPr>
        <w:t>6</w:t>
      </w:r>
      <w:r w:rsidR="00945732">
        <w:rPr>
          <w:rFonts w:ascii="Verdana" w:eastAsia="Times New Roman" w:hAnsi="Verdana" w:cs="Arial"/>
          <w:sz w:val="20"/>
          <w:szCs w:val="20"/>
          <w:lang w:val="es-MX" w:eastAsia="es-ES"/>
        </w:rPr>
        <w:t>7</w:t>
      </w:r>
      <w:r w:rsidR="001000CB">
        <w:rPr>
          <w:rFonts w:ascii="Verdana" w:eastAsia="Times New Roman" w:hAnsi="Verdana" w:cs="Arial"/>
          <w:sz w:val="20"/>
          <w:szCs w:val="20"/>
          <w:lang w:val="es-MX" w:eastAsia="es-ES"/>
        </w:rPr>
        <w:t>.</w:t>
      </w:r>
    </w:p>
    <w:p w14:paraId="39EDE779"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76D5CF6A" w14:textId="6B123F96"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6</w:t>
      </w:r>
      <w:r w:rsidR="002744E7">
        <w:rPr>
          <w:rFonts w:ascii="Verdana" w:hAnsi="Verdana"/>
          <w:sz w:val="20"/>
          <w:szCs w:val="20"/>
        </w:rPr>
        <w:t>2</w:t>
      </w:r>
      <w:r w:rsidRPr="000E0B7B">
        <w:rPr>
          <w:rFonts w:ascii="Verdana" w:hAnsi="Verdana"/>
          <w:sz w:val="20"/>
          <w:szCs w:val="20"/>
        </w:rPr>
        <w:t>.</w:t>
      </w:r>
    </w:p>
    <w:p w14:paraId="03831A23" w14:textId="444DB1AD" w:rsidR="00DC17E7" w:rsidRDefault="00DC17E7" w:rsidP="00162080">
      <w:pPr>
        <w:spacing w:after="0"/>
        <w:jc w:val="both"/>
        <w:rPr>
          <w:rFonts w:ascii="Verdana" w:hAnsi="Verdana"/>
          <w:sz w:val="20"/>
        </w:rPr>
      </w:pPr>
      <w:r w:rsidRPr="00653E80">
        <w:rPr>
          <w:rFonts w:ascii="Verdana" w:eastAsia="Times New Roman" w:hAnsi="Verdana" w:cs="Arial"/>
          <w:sz w:val="20"/>
          <w:szCs w:val="20"/>
          <w:lang w:val="es-MX" w:eastAsia="es-ES"/>
        </w:rPr>
        <w:t xml:space="preserve">Para efectos de convertir los saldos originales a dólares de los Estados Unidos de América o a euros deberán ser tenidas en cuenta </w:t>
      </w:r>
      <w:r w:rsidRPr="00653E80">
        <w:rPr>
          <w:rFonts w:ascii="Verdana" w:eastAsia="Times New Roman" w:hAnsi="Verdana" w:cs="Arial"/>
          <w:sz w:val="20"/>
          <w:szCs w:val="20"/>
          <w:lang w:val="es-ES" w:eastAsia="es-ES"/>
        </w:rPr>
        <w:t>las tasas de conversión de divisas publicadas para el día del cálculo en la página Web del Banco Central Europeo (BCE), con 6 decimales aproximando el último por el sistema de redondeo</w:t>
      </w:r>
      <w:r w:rsidR="00C60DF1">
        <w:rPr>
          <w:rFonts w:ascii="Verdana" w:eastAsia="Times New Roman" w:hAnsi="Verdana" w:cs="Arial"/>
          <w:sz w:val="20"/>
          <w:szCs w:val="20"/>
          <w:lang w:val="es-ES" w:eastAsia="es-ES"/>
        </w:rPr>
        <w:t xml:space="preserve">. </w:t>
      </w:r>
      <w:r w:rsidR="00C60DF1" w:rsidRPr="00E25795">
        <w:rPr>
          <w:rFonts w:ascii="Verdana" w:hAnsi="Verdana"/>
          <w:sz w:val="20"/>
          <w:szCs w:val="20"/>
          <w:lang w:val="es-ES_tradnl"/>
        </w:rPr>
        <w:t>Cuando la tasa de conversión de la divisa no se encuentre en la página web del Banco Central Europeo, se deberá tomar la tasa de conversión frente al dólar de los Estados Unidos de Norteamérica publicada por el Banco Central del respectivo país</w:t>
      </w:r>
      <w:r w:rsidR="00162080">
        <w:rPr>
          <w:rFonts w:ascii="Verdana" w:hAnsi="Verdana"/>
          <w:sz w:val="20"/>
          <w:szCs w:val="20"/>
          <w:lang w:val="es-ES_tradnl"/>
        </w:rPr>
        <w:t xml:space="preserve"> </w:t>
      </w:r>
      <w:r w:rsidR="005167D8" w:rsidRPr="000E0B7B">
        <w:rPr>
          <w:rFonts w:ascii="Verdana" w:hAnsi="Verdana"/>
          <w:sz w:val="20"/>
        </w:rPr>
        <w:t>(</w:t>
      </w:r>
      <w:r w:rsidR="00162080">
        <w:rPr>
          <w:rFonts w:ascii="Verdana" w:hAnsi="Verdana"/>
          <w:sz w:val="20"/>
        </w:rPr>
        <w:t xml:space="preserve">ver </w:t>
      </w:r>
      <w:r w:rsidR="005167D8">
        <w:rPr>
          <w:rFonts w:ascii="Verdana" w:hAnsi="Verdana"/>
          <w:sz w:val="20"/>
        </w:rPr>
        <w:t xml:space="preserve">párrafo 3.4.1.48. de la </w:t>
      </w:r>
      <w:r w:rsidR="00747C09">
        <w:rPr>
          <w:rFonts w:ascii="Verdana" w:hAnsi="Verdana"/>
          <w:sz w:val="20"/>
        </w:rPr>
        <w:t>CBF</w:t>
      </w:r>
      <w:r w:rsidR="005167D8" w:rsidRPr="000E0B7B">
        <w:rPr>
          <w:rFonts w:ascii="Verdana" w:hAnsi="Verdana"/>
          <w:sz w:val="20"/>
        </w:rPr>
        <w:t>).</w:t>
      </w:r>
    </w:p>
    <w:p w14:paraId="68798BEC" w14:textId="77777777" w:rsidR="0097703B" w:rsidRPr="00653E80" w:rsidRDefault="0097703B" w:rsidP="00162080">
      <w:pPr>
        <w:spacing w:after="0"/>
        <w:jc w:val="both"/>
        <w:rPr>
          <w:rFonts w:ascii="Verdana" w:eastAsia="Times New Roman" w:hAnsi="Verdana" w:cs="Arial"/>
          <w:sz w:val="20"/>
          <w:szCs w:val="20"/>
          <w:lang w:val="es-MX" w:eastAsia="es-ES"/>
        </w:rPr>
      </w:pPr>
    </w:p>
    <w:p w14:paraId="5CD827E6" w14:textId="155DE9FB" w:rsidR="00DC17E7" w:rsidRPr="00BF17DF" w:rsidRDefault="00DC17E7" w:rsidP="00BF17DF">
      <w:pPr>
        <w:pStyle w:val="Prrafodelista"/>
        <w:numPr>
          <w:ilvl w:val="0"/>
          <w:numId w:val="47"/>
        </w:numPr>
        <w:spacing w:after="0" w:line="240" w:lineRule="auto"/>
        <w:ind w:left="567" w:hanging="283"/>
        <w:jc w:val="both"/>
        <w:rPr>
          <w:rFonts w:ascii="Verdana" w:eastAsia="Times New Roman" w:hAnsi="Verdana" w:cs="Arial"/>
          <w:b/>
          <w:bCs/>
          <w:sz w:val="20"/>
          <w:szCs w:val="20"/>
          <w:lang w:val="es-MX" w:eastAsia="es-ES"/>
        </w:rPr>
      </w:pPr>
      <w:r w:rsidRPr="00BF17DF">
        <w:rPr>
          <w:rFonts w:ascii="Verdana" w:eastAsia="Times New Roman" w:hAnsi="Verdana" w:cs="Arial"/>
          <w:b/>
          <w:bCs/>
          <w:sz w:val="20"/>
          <w:szCs w:val="20"/>
          <w:lang w:val="es-MX" w:eastAsia="es-ES"/>
        </w:rPr>
        <w:t xml:space="preserve">Posiciones en moneda extranjera atadas al factor de riesgo de </w:t>
      </w:r>
      <w:r w:rsidR="00942A79">
        <w:rPr>
          <w:rFonts w:ascii="Verdana" w:eastAsia="Times New Roman" w:hAnsi="Verdana" w:cs="Arial"/>
          <w:b/>
          <w:bCs/>
          <w:sz w:val="20"/>
          <w:szCs w:val="20"/>
          <w:lang w:val="es-MX" w:eastAsia="es-ES"/>
        </w:rPr>
        <w:t>t</w:t>
      </w:r>
      <w:r w:rsidRPr="00BF17DF">
        <w:rPr>
          <w:rFonts w:ascii="Verdana" w:eastAsia="Times New Roman" w:hAnsi="Verdana" w:cs="Arial"/>
          <w:b/>
          <w:bCs/>
          <w:sz w:val="20"/>
          <w:szCs w:val="20"/>
          <w:lang w:val="es-MX" w:eastAsia="es-ES"/>
        </w:rPr>
        <w:t xml:space="preserve">asa de cambio </w:t>
      </w:r>
      <w:r w:rsidR="00942A79">
        <w:rPr>
          <w:rFonts w:ascii="Verdana" w:eastAsia="Times New Roman" w:hAnsi="Verdana" w:cs="Arial"/>
          <w:b/>
          <w:bCs/>
          <w:sz w:val="20"/>
          <w:szCs w:val="20"/>
          <w:lang w:val="es-MX" w:eastAsia="es-ES"/>
        </w:rPr>
        <w:t>r</w:t>
      </w:r>
      <w:r w:rsidRPr="00BF17DF">
        <w:rPr>
          <w:rFonts w:ascii="Verdana" w:eastAsia="Times New Roman" w:hAnsi="Verdana" w:cs="Arial"/>
          <w:b/>
          <w:bCs/>
          <w:sz w:val="20"/>
          <w:szCs w:val="20"/>
          <w:lang w:val="es-MX" w:eastAsia="es-ES"/>
        </w:rPr>
        <w:t xml:space="preserve">epresentativa del </w:t>
      </w:r>
      <w:r w:rsidR="00942A79">
        <w:rPr>
          <w:rFonts w:ascii="Verdana" w:eastAsia="Times New Roman" w:hAnsi="Verdana" w:cs="Arial"/>
          <w:b/>
          <w:bCs/>
          <w:sz w:val="20"/>
          <w:szCs w:val="20"/>
          <w:lang w:val="es-MX" w:eastAsia="es-ES"/>
        </w:rPr>
        <w:t>m</w:t>
      </w:r>
      <w:r w:rsidRPr="00BF17DF">
        <w:rPr>
          <w:rFonts w:ascii="Verdana" w:eastAsia="Times New Roman" w:hAnsi="Verdana" w:cs="Arial"/>
          <w:b/>
          <w:bCs/>
          <w:sz w:val="20"/>
          <w:szCs w:val="20"/>
          <w:lang w:val="es-MX" w:eastAsia="es-ES"/>
        </w:rPr>
        <w:t>ercado</w:t>
      </w:r>
    </w:p>
    <w:p w14:paraId="6B7F8575" w14:textId="77777777" w:rsidR="00DC17E7" w:rsidRDefault="00DC17E7" w:rsidP="00DC17E7">
      <w:pPr>
        <w:spacing w:after="0" w:line="240" w:lineRule="auto"/>
        <w:ind w:left="284" w:hanging="284"/>
        <w:jc w:val="both"/>
        <w:rPr>
          <w:rFonts w:ascii="Verdana" w:eastAsia="Times New Roman" w:hAnsi="Verdana" w:cs="Arial"/>
          <w:sz w:val="20"/>
          <w:szCs w:val="20"/>
          <w:lang w:val="es-MX" w:eastAsia="es-ES"/>
        </w:rPr>
      </w:pPr>
    </w:p>
    <w:p w14:paraId="162FD0B8" w14:textId="1231B4D5"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6</w:t>
      </w:r>
      <w:r w:rsidR="002744E7">
        <w:rPr>
          <w:rFonts w:ascii="Verdana" w:hAnsi="Verdana"/>
          <w:sz w:val="20"/>
          <w:szCs w:val="20"/>
        </w:rPr>
        <w:t>3</w:t>
      </w:r>
      <w:r w:rsidRPr="000E0B7B">
        <w:rPr>
          <w:rFonts w:ascii="Verdana" w:hAnsi="Verdana"/>
          <w:sz w:val="20"/>
          <w:szCs w:val="20"/>
        </w:rPr>
        <w:t>.</w:t>
      </w:r>
    </w:p>
    <w:p w14:paraId="4366D605"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Las posiciones en moneda extranjera de países pertenecientes a los continentes que se listan a continuación deben estar atadas al factor de riesgo de tasa de cambio de dólares (dólares de los Estados Unidos de América) - Tasa Representativa de Mercado.</w:t>
      </w:r>
    </w:p>
    <w:p w14:paraId="5B2D59FA" w14:textId="77777777" w:rsidR="00DC17E7" w:rsidRPr="00653E80" w:rsidRDefault="00DC17E7" w:rsidP="00DC17E7">
      <w:pPr>
        <w:spacing w:after="0" w:line="240" w:lineRule="auto"/>
        <w:ind w:left="284"/>
        <w:jc w:val="both"/>
        <w:rPr>
          <w:rFonts w:ascii="Verdana" w:eastAsia="Times New Roman" w:hAnsi="Verdana" w:cs="Arial"/>
          <w:sz w:val="20"/>
          <w:szCs w:val="20"/>
          <w:lang w:val="es-MX" w:eastAsia="es-ES"/>
        </w:rPr>
      </w:pPr>
    </w:p>
    <w:p w14:paraId="75E1B5B1" w14:textId="77777777" w:rsidR="00DC17E7" w:rsidRPr="00653E80" w:rsidRDefault="00DC17E7" w:rsidP="00DC17E7">
      <w:pPr>
        <w:pStyle w:val="Prrafodelista"/>
        <w:numPr>
          <w:ilvl w:val="0"/>
          <w:numId w:val="26"/>
        </w:numPr>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América.</w:t>
      </w:r>
    </w:p>
    <w:p w14:paraId="648DE514" w14:textId="77777777" w:rsidR="00BF17DF" w:rsidRDefault="00BF17DF" w:rsidP="00BF17DF">
      <w:pPr>
        <w:pStyle w:val="Prrafodelista"/>
        <w:spacing w:after="0" w:line="240" w:lineRule="auto"/>
        <w:ind w:left="567"/>
        <w:jc w:val="both"/>
        <w:rPr>
          <w:rFonts w:ascii="Verdana" w:eastAsia="Times New Roman" w:hAnsi="Verdana" w:cs="Arial"/>
          <w:sz w:val="20"/>
          <w:szCs w:val="20"/>
          <w:lang w:val="es-MX" w:eastAsia="es-ES"/>
        </w:rPr>
      </w:pPr>
    </w:p>
    <w:p w14:paraId="05BE60AB" w14:textId="77777777" w:rsidR="00BF17DF" w:rsidRDefault="00DC17E7" w:rsidP="00BF17DF">
      <w:pPr>
        <w:pStyle w:val="Prrafodelista"/>
        <w:numPr>
          <w:ilvl w:val="0"/>
          <w:numId w:val="26"/>
        </w:numPr>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Oceanía.</w:t>
      </w:r>
    </w:p>
    <w:p w14:paraId="738F274E" w14:textId="77777777" w:rsidR="00BF17DF" w:rsidRPr="00BF17DF" w:rsidRDefault="00BF17DF" w:rsidP="00BF17DF">
      <w:pPr>
        <w:pStyle w:val="Prrafodelista"/>
        <w:rPr>
          <w:rFonts w:ascii="Verdana" w:eastAsia="Times New Roman" w:hAnsi="Verdana" w:cs="Arial"/>
          <w:sz w:val="20"/>
          <w:szCs w:val="20"/>
          <w:lang w:val="es-MX" w:eastAsia="es-ES"/>
        </w:rPr>
      </w:pPr>
    </w:p>
    <w:p w14:paraId="1040E82C" w14:textId="716689B9" w:rsidR="00DC17E7" w:rsidRDefault="00DC17E7" w:rsidP="00BF17DF">
      <w:pPr>
        <w:pStyle w:val="Prrafodelista"/>
        <w:numPr>
          <w:ilvl w:val="0"/>
          <w:numId w:val="26"/>
        </w:numPr>
        <w:spacing w:after="0" w:line="240" w:lineRule="auto"/>
        <w:ind w:left="567" w:hanging="567"/>
        <w:jc w:val="both"/>
        <w:rPr>
          <w:rFonts w:ascii="Verdana" w:eastAsia="Times New Roman" w:hAnsi="Verdana" w:cs="Arial"/>
          <w:sz w:val="20"/>
          <w:szCs w:val="20"/>
          <w:lang w:val="es-MX" w:eastAsia="es-ES"/>
        </w:rPr>
      </w:pPr>
      <w:r w:rsidRPr="00BF17DF">
        <w:rPr>
          <w:rFonts w:ascii="Verdana" w:eastAsia="Times New Roman" w:hAnsi="Verdana" w:cs="Arial"/>
          <w:sz w:val="20"/>
          <w:szCs w:val="20"/>
          <w:lang w:val="es-MX" w:eastAsia="es-ES"/>
        </w:rPr>
        <w:t>Asia.</w:t>
      </w:r>
    </w:p>
    <w:p w14:paraId="25178B5F" w14:textId="77777777" w:rsidR="00DC17E7" w:rsidRDefault="00DC17E7" w:rsidP="00DC17E7">
      <w:pPr>
        <w:pStyle w:val="Prrafodelista"/>
        <w:spacing w:after="0" w:line="240" w:lineRule="auto"/>
        <w:ind w:left="284" w:hanging="284"/>
        <w:jc w:val="both"/>
        <w:rPr>
          <w:rFonts w:ascii="Verdana" w:eastAsia="Times New Roman" w:hAnsi="Verdana" w:cs="Arial"/>
          <w:sz w:val="20"/>
          <w:szCs w:val="20"/>
          <w:lang w:val="es-MX" w:eastAsia="es-ES"/>
        </w:rPr>
      </w:pPr>
    </w:p>
    <w:p w14:paraId="5F6C73D7" w14:textId="77777777" w:rsidR="00D556B2" w:rsidRDefault="00D556B2" w:rsidP="00DC17E7">
      <w:pPr>
        <w:pStyle w:val="Prrafodelista"/>
        <w:spacing w:after="0" w:line="240" w:lineRule="auto"/>
        <w:ind w:left="284" w:hanging="284"/>
        <w:jc w:val="both"/>
        <w:rPr>
          <w:rFonts w:ascii="Verdana" w:eastAsia="Times New Roman" w:hAnsi="Verdana" w:cs="Arial"/>
          <w:sz w:val="20"/>
          <w:szCs w:val="20"/>
          <w:lang w:val="es-MX" w:eastAsia="es-ES"/>
        </w:rPr>
      </w:pPr>
    </w:p>
    <w:p w14:paraId="793F9E40" w14:textId="77777777" w:rsidR="00D556B2" w:rsidRDefault="00D556B2" w:rsidP="00DC17E7">
      <w:pPr>
        <w:pStyle w:val="Prrafodelista"/>
        <w:spacing w:after="0" w:line="240" w:lineRule="auto"/>
        <w:ind w:left="284" w:hanging="284"/>
        <w:jc w:val="both"/>
        <w:rPr>
          <w:rFonts w:ascii="Verdana" w:eastAsia="Times New Roman" w:hAnsi="Verdana" w:cs="Arial"/>
          <w:sz w:val="20"/>
          <w:szCs w:val="20"/>
          <w:lang w:val="es-MX" w:eastAsia="es-ES"/>
        </w:rPr>
      </w:pPr>
    </w:p>
    <w:p w14:paraId="5773329D" w14:textId="77777777" w:rsidR="00D556B2" w:rsidRPr="00653E80" w:rsidRDefault="00D556B2" w:rsidP="00DC17E7">
      <w:pPr>
        <w:pStyle w:val="Prrafodelista"/>
        <w:spacing w:after="0" w:line="240" w:lineRule="auto"/>
        <w:ind w:left="284" w:hanging="284"/>
        <w:jc w:val="both"/>
        <w:rPr>
          <w:rFonts w:ascii="Verdana" w:eastAsia="Times New Roman" w:hAnsi="Verdana" w:cs="Arial"/>
          <w:sz w:val="20"/>
          <w:szCs w:val="20"/>
          <w:lang w:val="es-MX" w:eastAsia="es-ES"/>
        </w:rPr>
      </w:pPr>
    </w:p>
    <w:p w14:paraId="2A8AC655" w14:textId="23A7DF8C" w:rsidR="00DC17E7" w:rsidRPr="00BF17DF" w:rsidRDefault="00DC17E7" w:rsidP="00BF17DF">
      <w:pPr>
        <w:pStyle w:val="Prrafodelista"/>
        <w:numPr>
          <w:ilvl w:val="0"/>
          <w:numId w:val="47"/>
        </w:numPr>
        <w:spacing w:after="0" w:line="240" w:lineRule="auto"/>
        <w:ind w:left="567" w:hanging="283"/>
        <w:jc w:val="both"/>
        <w:rPr>
          <w:rFonts w:ascii="Verdana" w:eastAsia="Times New Roman" w:hAnsi="Verdana" w:cs="Arial"/>
          <w:b/>
          <w:bCs/>
          <w:sz w:val="20"/>
          <w:szCs w:val="20"/>
          <w:lang w:val="es-MX" w:eastAsia="es-ES"/>
        </w:rPr>
      </w:pPr>
      <w:r w:rsidRPr="00BF17DF">
        <w:rPr>
          <w:rFonts w:ascii="Verdana" w:eastAsia="Times New Roman" w:hAnsi="Verdana" w:cs="Arial"/>
          <w:b/>
          <w:bCs/>
          <w:sz w:val="20"/>
          <w:szCs w:val="20"/>
          <w:lang w:val="es-MX" w:eastAsia="es-ES"/>
        </w:rPr>
        <w:lastRenderedPageBreak/>
        <w:t>Posiciones en moneda extranjera atadas al factor de tasa de cambio euro/pesos</w:t>
      </w:r>
    </w:p>
    <w:p w14:paraId="28E77702" w14:textId="77777777" w:rsidR="00DC17E7" w:rsidRPr="00653E80" w:rsidRDefault="00DC17E7" w:rsidP="00DC17E7">
      <w:pPr>
        <w:pStyle w:val="Prrafodelista"/>
        <w:spacing w:after="0" w:line="240" w:lineRule="auto"/>
        <w:ind w:left="284" w:hanging="284"/>
        <w:jc w:val="both"/>
        <w:rPr>
          <w:rFonts w:ascii="Verdana" w:eastAsia="Times New Roman" w:hAnsi="Verdana" w:cs="Arial"/>
          <w:sz w:val="20"/>
          <w:szCs w:val="20"/>
          <w:lang w:val="es-MX" w:eastAsia="es-ES"/>
        </w:rPr>
      </w:pPr>
    </w:p>
    <w:p w14:paraId="52CD502E" w14:textId="7474869A"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6</w:t>
      </w:r>
      <w:r w:rsidR="002744E7">
        <w:rPr>
          <w:rFonts w:ascii="Verdana" w:hAnsi="Verdana"/>
          <w:sz w:val="20"/>
          <w:szCs w:val="20"/>
        </w:rPr>
        <w:t>4</w:t>
      </w:r>
      <w:r w:rsidRPr="000E0B7B">
        <w:rPr>
          <w:rFonts w:ascii="Verdana" w:hAnsi="Verdana"/>
          <w:sz w:val="20"/>
          <w:szCs w:val="20"/>
        </w:rPr>
        <w:t>.</w:t>
      </w:r>
    </w:p>
    <w:p w14:paraId="2989E75A" w14:textId="77777777" w:rsidR="00DC17E7" w:rsidRPr="002B0C8F" w:rsidRDefault="00DC17E7" w:rsidP="00DC17E7">
      <w:pPr>
        <w:spacing w:after="0" w:line="240" w:lineRule="auto"/>
        <w:jc w:val="both"/>
        <w:rPr>
          <w:rFonts w:ascii="Verdana" w:eastAsia="Times New Roman" w:hAnsi="Verdana" w:cs="Arial"/>
          <w:sz w:val="20"/>
          <w:szCs w:val="20"/>
          <w:lang w:val="es-MX" w:eastAsia="es-ES"/>
        </w:rPr>
      </w:pPr>
      <w:r w:rsidRPr="002B0C8F">
        <w:rPr>
          <w:rFonts w:ascii="Verdana" w:eastAsia="Times New Roman" w:hAnsi="Verdana" w:cs="Arial"/>
          <w:sz w:val="20"/>
          <w:szCs w:val="20"/>
          <w:lang w:val="es-MX" w:eastAsia="es-ES"/>
        </w:rPr>
        <w:t>Las posiciones en moneda extranjera de países pertenecientes a los continentes que se listan a continuación deberán estar atadas al factor de riesgo de tasa de cambio de euro / pesos.</w:t>
      </w:r>
    </w:p>
    <w:p w14:paraId="2A7D3E17" w14:textId="77777777" w:rsidR="00DC17E7" w:rsidRPr="0097703B" w:rsidRDefault="00DC17E7" w:rsidP="0097703B">
      <w:pPr>
        <w:spacing w:after="0" w:line="240" w:lineRule="auto"/>
        <w:jc w:val="both"/>
        <w:rPr>
          <w:rFonts w:ascii="Verdana" w:eastAsia="Times New Roman" w:hAnsi="Verdana" w:cs="Arial"/>
          <w:sz w:val="20"/>
          <w:szCs w:val="20"/>
          <w:lang w:val="es-MX" w:eastAsia="es-ES"/>
        </w:rPr>
      </w:pPr>
    </w:p>
    <w:p w14:paraId="21C3BC64" w14:textId="77777777" w:rsidR="00DC17E7" w:rsidRPr="00653E80" w:rsidRDefault="00DC17E7" w:rsidP="00DC17E7">
      <w:pPr>
        <w:pStyle w:val="Prrafodelista"/>
        <w:numPr>
          <w:ilvl w:val="0"/>
          <w:numId w:val="27"/>
        </w:numPr>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Europa.</w:t>
      </w:r>
    </w:p>
    <w:p w14:paraId="4813C9DC" w14:textId="77777777" w:rsidR="00D455C1" w:rsidRPr="0097703B" w:rsidRDefault="00D455C1" w:rsidP="0097703B">
      <w:pPr>
        <w:spacing w:after="0" w:line="240" w:lineRule="auto"/>
        <w:jc w:val="both"/>
        <w:rPr>
          <w:rFonts w:ascii="Verdana" w:eastAsia="Times New Roman" w:hAnsi="Verdana" w:cs="Arial"/>
          <w:sz w:val="20"/>
          <w:szCs w:val="20"/>
          <w:lang w:val="es-MX" w:eastAsia="es-ES"/>
        </w:rPr>
      </w:pPr>
    </w:p>
    <w:p w14:paraId="6D1F1F78" w14:textId="18C7E7C9" w:rsidR="00DC17E7" w:rsidRPr="00653E80" w:rsidRDefault="00DC17E7" w:rsidP="00DC17E7">
      <w:pPr>
        <w:pStyle w:val="Prrafodelista"/>
        <w:numPr>
          <w:ilvl w:val="0"/>
          <w:numId w:val="27"/>
        </w:numPr>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África.</w:t>
      </w:r>
    </w:p>
    <w:p w14:paraId="52AE3BB9" w14:textId="77777777" w:rsidR="00DC17E7" w:rsidRDefault="00DC17E7" w:rsidP="00DC17E7">
      <w:pPr>
        <w:pStyle w:val="Prrafodelista"/>
        <w:spacing w:after="0" w:line="240" w:lineRule="auto"/>
        <w:ind w:left="0"/>
        <w:jc w:val="both"/>
        <w:rPr>
          <w:rFonts w:ascii="Verdana" w:eastAsia="Times New Roman" w:hAnsi="Verdana" w:cs="Arial"/>
          <w:sz w:val="20"/>
          <w:szCs w:val="20"/>
          <w:lang w:val="es-MX" w:eastAsia="es-ES"/>
        </w:rPr>
      </w:pPr>
    </w:p>
    <w:p w14:paraId="0135F6E3" w14:textId="77777777" w:rsidR="00DC17E7" w:rsidRPr="002B0C8F" w:rsidRDefault="00DC17E7" w:rsidP="00D455C1">
      <w:pPr>
        <w:pStyle w:val="Prrafodelista"/>
        <w:numPr>
          <w:ilvl w:val="0"/>
          <w:numId w:val="39"/>
        </w:numPr>
        <w:spacing w:after="0" w:line="240" w:lineRule="auto"/>
        <w:ind w:left="284" w:hanging="284"/>
        <w:jc w:val="both"/>
        <w:rPr>
          <w:rFonts w:ascii="Verdana" w:eastAsia="Times New Roman" w:hAnsi="Verdana" w:cs="Arial"/>
          <w:b/>
          <w:bCs/>
          <w:sz w:val="20"/>
          <w:szCs w:val="20"/>
          <w:lang w:val="es-MX" w:eastAsia="es-ES"/>
        </w:rPr>
      </w:pPr>
      <w:r w:rsidRPr="002B0C8F">
        <w:rPr>
          <w:rFonts w:ascii="Verdana" w:eastAsia="Times New Roman" w:hAnsi="Verdana" w:cs="Arial"/>
          <w:b/>
          <w:bCs/>
          <w:sz w:val="20"/>
          <w:szCs w:val="20"/>
          <w:lang w:val="es-MX" w:eastAsia="es-ES"/>
        </w:rPr>
        <w:t>Cálculo de la exposición neta y sensibilidad al riesgo</w:t>
      </w:r>
    </w:p>
    <w:p w14:paraId="0E4D0B4E"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3CB76297" w14:textId="03B32013"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6</w:t>
      </w:r>
      <w:r w:rsidR="002744E7">
        <w:rPr>
          <w:rFonts w:ascii="Verdana" w:hAnsi="Verdana"/>
          <w:sz w:val="20"/>
          <w:szCs w:val="20"/>
        </w:rPr>
        <w:t>5</w:t>
      </w:r>
      <w:r w:rsidRPr="000E0B7B">
        <w:rPr>
          <w:rFonts w:ascii="Verdana" w:hAnsi="Verdana"/>
          <w:sz w:val="20"/>
          <w:szCs w:val="20"/>
        </w:rPr>
        <w:t>.</w:t>
      </w:r>
    </w:p>
    <w:p w14:paraId="624E031F"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r w:rsidRPr="00653E80">
        <w:rPr>
          <w:rFonts w:ascii="Verdana" w:eastAsia="Times New Roman" w:hAnsi="Verdana" w:cs="Arial"/>
          <w:sz w:val="20"/>
          <w:szCs w:val="20"/>
          <w:lang w:val="es-MX" w:eastAsia="es-ES"/>
        </w:rPr>
        <w:t>Con el fin de evaluar la exposición neta para cada factor de riesgo, se deben expresar las posiciones totales en términos de dólares o euros, según sea el caso. Dado lo anterior la exposición neta se calculará de la siguiente manera:</w:t>
      </w:r>
    </w:p>
    <w:p w14:paraId="65DAB0B3"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11B9A736" w14:textId="77777777" w:rsidR="00DC17E7" w:rsidRPr="00653E80" w:rsidRDefault="00DC17E7" w:rsidP="00DC17E7">
      <w:pPr>
        <w:numPr>
          <w:ilvl w:val="0"/>
          <w:numId w:val="28"/>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posición neta de las operaciones </w:t>
      </w:r>
      <w:r w:rsidRPr="00653E80">
        <w:rPr>
          <w:rFonts w:ascii="Verdana" w:eastAsia="Times New Roman" w:hAnsi="Verdana" w:cs="Arial"/>
          <w:i/>
          <w:iCs/>
          <w:sz w:val="20"/>
          <w:szCs w:val="20"/>
          <w:lang w:val="es-MX" w:eastAsia="es-ES"/>
        </w:rPr>
        <w:t>spot</w:t>
      </w:r>
      <w:r w:rsidRPr="00653E80">
        <w:rPr>
          <w:rFonts w:ascii="Verdana" w:eastAsia="Times New Roman" w:hAnsi="Verdana" w:cs="Arial"/>
          <w:sz w:val="20"/>
          <w:szCs w:val="20"/>
          <w:lang w:val="es-MX" w:eastAsia="es-ES"/>
        </w:rPr>
        <w:t xml:space="preserve"> de la entidad, calculada como la diferencia entre las posiciones largas y cortas, incluyendo en ambos casos los intereses causados, denominados en la moneda en cuestión.</w:t>
      </w:r>
    </w:p>
    <w:p w14:paraId="1A50707A" w14:textId="77777777" w:rsidR="00DC17E7" w:rsidRPr="00653E80" w:rsidRDefault="00DC17E7" w:rsidP="00DC17E7">
      <w:pPr>
        <w:tabs>
          <w:tab w:val="num" w:pos="567"/>
        </w:tabs>
        <w:spacing w:after="0" w:line="240" w:lineRule="auto"/>
        <w:ind w:left="567" w:hanging="567"/>
        <w:jc w:val="both"/>
        <w:rPr>
          <w:rFonts w:ascii="Verdana" w:eastAsia="Times New Roman" w:hAnsi="Verdana" w:cs="Arial"/>
          <w:sz w:val="20"/>
          <w:szCs w:val="20"/>
          <w:lang w:val="es-MX" w:eastAsia="es-ES"/>
        </w:rPr>
      </w:pPr>
    </w:p>
    <w:p w14:paraId="1AF7B218" w14:textId="77777777" w:rsidR="00DC17E7" w:rsidRPr="00653E80" w:rsidRDefault="00DC17E7" w:rsidP="00DC17E7">
      <w:pPr>
        <w:numPr>
          <w:ilvl w:val="0"/>
          <w:numId w:val="28"/>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posición neta de las operaciones </w:t>
      </w:r>
      <w:r w:rsidRPr="00653E80">
        <w:rPr>
          <w:rFonts w:ascii="Verdana" w:eastAsia="Times New Roman" w:hAnsi="Verdana" w:cs="Arial"/>
          <w:i/>
          <w:iCs/>
          <w:sz w:val="20"/>
          <w:szCs w:val="20"/>
          <w:lang w:val="es-MX" w:eastAsia="es-ES"/>
        </w:rPr>
        <w:t xml:space="preserve">forward </w:t>
      </w:r>
      <w:r w:rsidRPr="00653E80">
        <w:rPr>
          <w:rFonts w:ascii="Verdana" w:eastAsia="Times New Roman" w:hAnsi="Verdana" w:cs="Arial"/>
          <w:sz w:val="20"/>
          <w:szCs w:val="20"/>
          <w:lang w:val="es-MX" w:eastAsia="es-ES"/>
        </w:rPr>
        <w:t>de la entidad, calculada como la diferencia entre las posiciones largas en forwards, futuros y operaciones a plazo sobre la moneda en cuestión, y las posiciones cortas en dichos instrumentos.</w:t>
      </w:r>
    </w:p>
    <w:p w14:paraId="2B77F7EB" w14:textId="77777777" w:rsidR="00DC17E7" w:rsidRPr="00653E80" w:rsidRDefault="00DC17E7" w:rsidP="00DC17E7">
      <w:pPr>
        <w:tabs>
          <w:tab w:val="num" w:pos="567"/>
        </w:tabs>
        <w:spacing w:after="0" w:line="240" w:lineRule="auto"/>
        <w:ind w:left="567" w:hanging="567"/>
        <w:jc w:val="both"/>
        <w:rPr>
          <w:rFonts w:ascii="Verdana" w:eastAsia="Times New Roman" w:hAnsi="Verdana" w:cs="Arial"/>
          <w:sz w:val="20"/>
          <w:szCs w:val="20"/>
          <w:lang w:val="es-MX" w:eastAsia="es-ES"/>
        </w:rPr>
      </w:pPr>
    </w:p>
    <w:p w14:paraId="346ECADD" w14:textId="4A69C74F" w:rsidR="00DC17E7" w:rsidRPr="00653E80" w:rsidRDefault="00DC17E7" w:rsidP="00DC17E7">
      <w:pPr>
        <w:numPr>
          <w:ilvl w:val="0"/>
          <w:numId w:val="28"/>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posición neta de las operaciones en derivados de la entidad cuyo subyacente no sea una divisa, pero si un título o una tasa de interés denominados en dicha moneda. Para calcular esta posición deberá computarse la diferencia entre las posiciones nocionales largas </w:t>
      </w:r>
      <w:r w:rsidRPr="00011B41">
        <w:rPr>
          <w:rFonts w:ascii="Verdana" w:eastAsia="Times New Roman" w:hAnsi="Verdana" w:cs="Arial"/>
          <w:sz w:val="20"/>
          <w:szCs w:val="20"/>
          <w:lang w:val="es-MX" w:eastAsia="es-ES"/>
        </w:rPr>
        <w:t xml:space="preserve">y las posiciones nocionales cortas determinadas de acuerdo </w:t>
      </w:r>
      <w:r w:rsidR="00011B41">
        <w:rPr>
          <w:rFonts w:ascii="Verdana" w:eastAsia="Times New Roman" w:hAnsi="Verdana" w:cs="Arial"/>
          <w:sz w:val="20"/>
          <w:szCs w:val="20"/>
          <w:lang w:val="es-MX" w:eastAsia="es-ES"/>
        </w:rPr>
        <w:t>con</w:t>
      </w:r>
      <w:r w:rsidRPr="00011B41">
        <w:rPr>
          <w:rFonts w:ascii="Verdana" w:eastAsia="Times New Roman" w:hAnsi="Verdana" w:cs="Arial"/>
          <w:sz w:val="20"/>
          <w:szCs w:val="20"/>
          <w:lang w:val="es-MX" w:eastAsia="es-ES"/>
        </w:rPr>
        <w:t xml:space="preserve"> lo previsto en</w:t>
      </w:r>
      <w:r w:rsidR="00FC4812" w:rsidRPr="00011B41">
        <w:rPr>
          <w:rFonts w:ascii="Verdana" w:eastAsia="Times New Roman" w:hAnsi="Verdana" w:cs="Arial"/>
          <w:sz w:val="20"/>
          <w:szCs w:val="20"/>
          <w:lang w:val="es-MX" w:eastAsia="es-ES"/>
        </w:rPr>
        <w:t>tre los</w:t>
      </w:r>
      <w:r w:rsidR="00FC4812">
        <w:rPr>
          <w:rFonts w:ascii="Verdana" w:eastAsia="Times New Roman" w:hAnsi="Verdana" w:cs="Arial"/>
          <w:sz w:val="20"/>
          <w:szCs w:val="20"/>
          <w:lang w:val="es-MX" w:eastAsia="es-ES"/>
        </w:rPr>
        <w:t xml:space="preserve"> párrafos </w:t>
      </w:r>
      <w:r w:rsidR="00FC4812" w:rsidRPr="00FE2807">
        <w:rPr>
          <w:rFonts w:ascii="Verdana" w:eastAsia="Times New Roman" w:hAnsi="Verdana" w:cs="Arial"/>
          <w:sz w:val="20"/>
          <w:szCs w:val="20"/>
          <w:lang w:val="es-MX" w:eastAsia="es-ES"/>
        </w:rPr>
        <w:t>1.1.A7.</w:t>
      </w:r>
      <w:r w:rsidR="00983B83" w:rsidRPr="00FE2807">
        <w:rPr>
          <w:rFonts w:ascii="Verdana" w:eastAsia="Times New Roman" w:hAnsi="Verdana" w:cs="Arial"/>
          <w:sz w:val="20"/>
          <w:szCs w:val="20"/>
          <w:lang w:val="es-MX" w:eastAsia="es-ES"/>
        </w:rPr>
        <w:t>4. y 1.1.A7.37.</w:t>
      </w:r>
    </w:p>
    <w:p w14:paraId="1969479F" w14:textId="77777777" w:rsidR="00DC17E7" w:rsidRPr="00653E80" w:rsidRDefault="00DC17E7" w:rsidP="00DC17E7">
      <w:pPr>
        <w:tabs>
          <w:tab w:val="num" w:pos="567"/>
        </w:tabs>
        <w:spacing w:after="0" w:line="240" w:lineRule="auto"/>
        <w:ind w:left="567" w:hanging="567"/>
        <w:jc w:val="both"/>
        <w:rPr>
          <w:rFonts w:ascii="Verdana" w:eastAsia="Times New Roman" w:hAnsi="Verdana" w:cs="Arial"/>
          <w:sz w:val="20"/>
          <w:szCs w:val="20"/>
          <w:lang w:val="es-MX" w:eastAsia="es-ES"/>
        </w:rPr>
      </w:pPr>
    </w:p>
    <w:p w14:paraId="76ED4F3D" w14:textId="5C7FF1E2" w:rsidR="00DC17E7" w:rsidRPr="00653E80" w:rsidRDefault="00DC17E7" w:rsidP="00DC17E7">
      <w:pPr>
        <w:numPr>
          <w:ilvl w:val="0"/>
          <w:numId w:val="28"/>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Adicionalmente, cuando corresponda </w:t>
      </w:r>
      <w:r w:rsidRPr="00110F42">
        <w:rPr>
          <w:rFonts w:ascii="Verdana" w:eastAsia="Times New Roman" w:hAnsi="Verdana" w:cs="Arial"/>
          <w:sz w:val="20"/>
          <w:szCs w:val="20"/>
          <w:lang w:val="es-MX" w:eastAsia="es-ES"/>
        </w:rPr>
        <w:t>según lo previsto en</w:t>
      </w:r>
      <w:r w:rsidR="00983B83" w:rsidRPr="00110F42">
        <w:rPr>
          <w:rFonts w:ascii="Verdana" w:eastAsia="Times New Roman" w:hAnsi="Verdana" w:cs="Arial"/>
          <w:sz w:val="20"/>
          <w:szCs w:val="20"/>
          <w:lang w:val="es-MX" w:eastAsia="es-ES"/>
        </w:rPr>
        <w:t>tre los</w:t>
      </w:r>
      <w:r w:rsidR="00983B83">
        <w:rPr>
          <w:rFonts w:ascii="Verdana" w:eastAsia="Times New Roman" w:hAnsi="Verdana" w:cs="Arial"/>
          <w:sz w:val="20"/>
          <w:szCs w:val="20"/>
          <w:lang w:val="es-MX" w:eastAsia="es-ES"/>
        </w:rPr>
        <w:t xml:space="preserve"> párrafos </w:t>
      </w:r>
      <w:r w:rsidR="00983B83" w:rsidRPr="00FE2807">
        <w:rPr>
          <w:rFonts w:ascii="Verdana" w:eastAsia="Times New Roman" w:hAnsi="Verdana" w:cs="Arial"/>
          <w:sz w:val="20"/>
          <w:szCs w:val="20"/>
          <w:lang w:val="es-MX" w:eastAsia="es-ES"/>
        </w:rPr>
        <w:t>1.1.A7</w:t>
      </w:r>
      <w:r w:rsidR="00011B41" w:rsidRPr="00FE2807">
        <w:rPr>
          <w:rFonts w:ascii="Verdana" w:eastAsia="Times New Roman" w:hAnsi="Verdana" w:cs="Arial"/>
          <w:sz w:val="20"/>
          <w:szCs w:val="20"/>
          <w:lang w:val="es-MX" w:eastAsia="es-ES"/>
        </w:rPr>
        <w:t>.</w:t>
      </w:r>
      <w:r w:rsidR="00FE2807" w:rsidRPr="00FE2807">
        <w:rPr>
          <w:rFonts w:ascii="Verdana" w:eastAsia="Times New Roman" w:hAnsi="Verdana" w:cs="Arial"/>
          <w:sz w:val="20"/>
          <w:szCs w:val="20"/>
          <w:lang w:val="es-MX" w:eastAsia="es-ES"/>
        </w:rPr>
        <w:t>8</w:t>
      </w:r>
      <w:r w:rsidR="00FE2807" w:rsidRPr="00747C09">
        <w:rPr>
          <w:rFonts w:ascii="Verdana" w:eastAsia="Times New Roman" w:hAnsi="Verdana" w:cs="Arial"/>
          <w:sz w:val="20"/>
          <w:szCs w:val="20"/>
          <w:lang w:val="es-MX" w:eastAsia="es-ES"/>
        </w:rPr>
        <w:t>6</w:t>
      </w:r>
      <w:r w:rsidR="00011B41" w:rsidRPr="00FE2807">
        <w:rPr>
          <w:rFonts w:ascii="Verdana" w:eastAsia="Times New Roman" w:hAnsi="Verdana" w:cs="Arial"/>
          <w:sz w:val="20"/>
          <w:szCs w:val="20"/>
          <w:lang w:val="es-MX" w:eastAsia="es-ES"/>
        </w:rPr>
        <w:t>. y 1.1.A7.</w:t>
      </w:r>
      <w:r w:rsidR="00FE2807" w:rsidRPr="00FE2807">
        <w:rPr>
          <w:rFonts w:ascii="Verdana" w:eastAsia="Times New Roman" w:hAnsi="Verdana" w:cs="Arial"/>
          <w:sz w:val="20"/>
          <w:szCs w:val="20"/>
          <w:lang w:val="es-MX" w:eastAsia="es-ES"/>
        </w:rPr>
        <w:t>91</w:t>
      </w:r>
      <w:r w:rsidR="00011B41">
        <w:rPr>
          <w:rFonts w:ascii="Verdana" w:eastAsia="Times New Roman" w:hAnsi="Verdana" w:cs="Arial"/>
          <w:sz w:val="20"/>
          <w:szCs w:val="20"/>
          <w:lang w:val="es-MX" w:eastAsia="es-ES"/>
        </w:rPr>
        <w:t>.</w:t>
      </w:r>
      <w:r w:rsidRPr="00653E80">
        <w:rPr>
          <w:rFonts w:ascii="Verdana" w:eastAsia="Times New Roman" w:hAnsi="Verdana" w:cs="Arial"/>
          <w:sz w:val="20"/>
          <w:szCs w:val="20"/>
          <w:lang w:val="es-MX" w:eastAsia="es-ES"/>
        </w:rPr>
        <w:t>, las posiciones delta ponderadas de opciones en monedas.</w:t>
      </w:r>
    </w:p>
    <w:p w14:paraId="0905C502"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MX" w:eastAsia="es-ES"/>
        </w:rPr>
      </w:pPr>
    </w:p>
    <w:p w14:paraId="3D639C4B" w14:textId="7F0772C4"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6</w:t>
      </w:r>
      <w:r w:rsidR="002744E7">
        <w:rPr>
          <w:rFonts w:ascii="Verdana" w:hAnsi="Verdana"/>
          <w:sz w:val="20"/>
          <w:szCs w:val="20"/>
        </w:rPr>
        <w:t>6</w:t>
      </w:r>
      <w:r w:rsidRPr="000E0B7B">
        <w:rPr>
          <w:rFonts w:ascii="Verdana" w:hAnsi="Verdana"/>
          <w:sz w:val="20"/>
          <w:szCs w:val="20"/>
        </w:rPr>
        <w:t>.</w:t>
      </w:r>
    </w:p>
    <w:p w14:paraId="316FB66C" w14:textId="7CF33319"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Una vez obtenida la posición neta de cada moneda, su equivalente en moneda legal se calculará de acuerdo </w:t>
      </w:r>
      <w:r w:rsidR="0067711D">
        <w:rPr>
          <w:rFonts w:ascii="Verdana" w:eastAsia="Times New Roman" w:hAnsi="Verdana" w:cs="Arial"/>
          <w:sz w:val="20"/>
          <w:szCs w:val="20"/>
          <w:lang w:val="es-MX" w:eastAsia="es-ES"/>
        </w:rPr>
        <w:t>con</w:t>
      </w:r>
      <w:r w:rsidRPr="00653E80">
        <w:rPr>
          <w:rFonts w:ascii="Verdana" w:eastAsia="Times New Roman" w:hAnsi="Verdana" w:cs="Arial"/>
          <w:sz w:val="20"/>
          <w:szCs w:val="20"/>
          <w:lang w:val="es-MX" w:eastAsia="es-ES"/>
        </w:rPr>
        <w:t xml:space="preserve"> la TRM vigente para el día de cálculo. Para el caso de las posiciones en euros, deberán expresarse en dólares y adicionalmente utilizar la TRM vigente para el día de cálculo</w:t>
      </w:r>
      <w:r w:rsidR="0067711D">
        <w:rPr>
          <w:rFonts w:ascii="Verdana" w:eastAsia="Times New Roman" w:hAnsi="Verdana" w:cs="Arial"/>
          <w:sz w:val="20"/>
          <w:szCs w:val="20"/>
          <w:lang w:val="es-MX" w:eastAsia="es-ES"/>
        </w:rPr>
        <w:t xml:space="preserve">, de acuerdo con </w:t>
      </w:r>
      <w:r w:rsidR="0067711D">
        <w:rPr>
          <w:rFonts w:ascii="Verdana" w:hAnsi="Verdana"/>
          <w:sz w:val="20"/>
        </w:rPr>
        <w:t xml:space="preserve">el párrafo 3.4.1.48. de la </w:t>
      </w:r>
      <w:r w:rsidR="00747C09">
        <w:rPr>
          <w:rFonts w:ascii="Verdana" w:hAnsi="Verdana"/>
          <w:sz w:val="20"/>
        </w:rPr>
        <w:t>CBF</w:t>
      </w:r>
      <w:r w:rsidR="0067711D" w:rsidRPr="000E0B7B">
        <w:rPr>
          <w:rFonts w:ascii="Verdana" w:hAnsi="Verdana"/>
          <w:sz w:val="20"/>
        </w:rPr>
        <w:t>.</w:t>
      </w:r>
    </w:p>
    <w:p w14:paraId="25B62A86"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588A0FA0" w14:textId="19641C96"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6</w:t>
      </w:r>
      <w:r w:rsidR="002744E7">
        <w:rPr>
          <w:rFonts w:ascii="Verdana" w:hAnsi="Verdana"/>
          <w:sz w:val="20"/>
          <w:szCs w:val="20"/>
        </w:rPr>
        <w:t>7</w:t>
      </w:r>
      <w:r w:rsidRPr="000E0B7B">
        <w:rPr>
          <w:rFonts w:ascii="Verdana" w:hAnsi="Verdana"/>
          <w:sz w:val="20"/>
          <w:szCs w:val="20"/>
        </w:rPr>
        <w:t>.</w:t>
      </w:r>
    </w:p>
    <w:p w14:paraId="438648C3"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Entonces el valor en riesgo para estos factores de riesgo se calculará de la siguiente forma:</w:t>
      </w:r>
    </w:p>
    <w:p w14:paraId="11A2404D"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4574099E" w14:textId="1BEC76F4" w:rsidR="00D92E76" w:rsidRPr="00653E80" w:rsidRDefault="00D556B2" w:rsidP="00D92E76">
      <w:pPr>
        <w:spacing w:after="0" w:line="240" w:lineRule="auto"/>
        <w:jc w:val="both"/>
        <w:rPr>
          <w:rFonts w:ascii="Verdana" w:eastAsia="Times New Roman" w:hAnsi="Verdana" w:cs="Arial"/>
          <w:sz w:val="20"/>
          <w:szCs w:val="20"/>
          <w:lang w:val="es-MX" w:eastAsia="es-ES"/>
        </w:rPr>
      </w:pPr>
      <m:oMathPara>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EN</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*(2,33*</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oMath>
      </m:oMathPara>
    </w:p>
    <w:p w14:paraId="74C1AF6E" w14:textId="77777777" w:rsidR="00D92E76" w:rsidRPr="00653E80" w:rsidRDefault="00D92E76" w:rsidP="00DC17E7">
      <w:pPr>
        <w:spacing w:after="0" w:line="240" w:lineRule="auto"/>
        <w:jc w:val="both"/>
        <w:rPr>
          <w:rFonts w:ascii="Verdana" w:eastAsia="Times New Roman" w:hAnsi="Verdana" w:cs="Arial"/>
          <w:sz w:val="20"/>
          <w:szCs w:val="20"/>
          <w:lang w:val="es-MX" w:eastAsia="es-ES"/>
        </w:rPr>
      </w:pPr>
    </w:p>
    <w:p w14:paraId="19E089F2"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Donde:</w:t>
      </w:r>
    </w:p>
    <w:p w14:paraId="5618D8B6"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123EA91E" w14:textId="1A263000"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oMath>
      <w:r w:rsidR="006134EB">
        <w:rPr>
          <w:rFonts w:ascii="Verdana" w:eastAsia="Times New Roman" w:hAnsi="Verdana" w:cs="Arial"/>
          <w:bCs/>
          <w:sz w:val="20"/>
          <w:szCs w:val="20"/>
          <w:lang w:val="es-MX" w:eastAsia="es-ES"/>
        </w:rPr>
        <w:t>:</w:t>
      </w:r>
      <w:r w:rsidR="00DC17E7" w:rsidRPr="00653E80">
        <w:rPr>
          <w:rFonts w:ascii="Verdana" w:eastAsia="Times New Roman" w:hAnsi="Verdana" w:cs="Arial"/>
          <w:sz w:val="20"/>
          <w:szCs w:val="20"/>
          <w:lang w:val="es-MX" w:eastAsia="es-ES"/>
        </w:rPr>
        <w:t xml:space="preserve"> </w:t>
      </w:r>
      <w:r w:rsidR="006134EB">
        <w:rPr>
          <w:rFonts w:ascii="Verdana" w:eastAsia="Times New Roman" w:hAnsi="Verdana" w:cs="Arial"/>
          <w:sz w:val="20"/>
          <w:szCs w:val="20"/>
          <w:lang w:val="es-MX" w:eastAsia="es-ES"/>
        </w:rPr>
        <w:t>es el v</w:t>
      </w:r>
      <w:r w:rsidR="00DC17E7" w:rsidRPr="00653E80">
        <w:rPr>
          <w:rFonts w:ascii="Verdana" w:eastAsia="Times New Roman" w:hAnsi="Verdana" w:cs="Arial"/>
          <w:sz w:val="20"/>
          <w:szCs w:val="20"/>
          <w:lang w:val="es-MX" w:eastAsia="es-ES"/>
        </w:rPr>
        <w:t>alor en riesgo por variación en el factor de riesgo i, i = (dólar, euro).</w:t>
      </w:r>
    </w:p>
    <w:p w14:paraId="5B43CAC8" w14:textId="77777777" w:rsidR="006134EB" w:rsidRDefault="006134EB" w:rsidP="00DC17E7">
      <w:pPr>
        <w:spacing w:after="0" w:line="240" w:lineRule="auto"/>
        <w:jc w:val="both"/>
        <w:rPr>
          <w:rFonts w:ascii="Verdana" w:eastAsia="Times New Roman" w:hAnsi="Verdana" w:cs="Arial"/>
          <w:sz w:val="20"/>
          <w:szCs w:val="20"/>
          <w:lang w:val="es-MX" w:eastAsia="es-ES"/>
        </w:rPr>
      </w:pPr>
    </w:p>
    <w:p w14:paraId="08EAA610" w14:textId="30591C0C"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EN</m:t>
            </m:r>
          </m:e>
          <m:sub>
            <m:r>
              <w:rPr>
                <w:rFonts w:ascii="Cambria Math" w:eastAsia="Times New Roman" w:hAnsi="Cambria Math" w:cs="Arial"/>
                <w:sz w:val="20"/>
                <w:szCs w:val="20"/>
                <w:lang w:val="es-MX" w:eastAsia="es-ES"/>
              </w:rPr>
              <m:t>i</m:t>
            </m:r>
          </m:sub>
        </m:sSub>
      </m:oMath>
      <w:r w:rsidR="006134EB">
        <w:rPr>
          <w:rFonts w:ascii="Verdana" w:eastAsia="Times New Roman" w:hAnsi="Verdana" w:cs="Arial"/>
          <w:bCs/>
          <w:sz w:val="20"/>
          <w:szCs w:val="20"/>
          <w:lang w:val="es-MX" w:eastAsia="es-ES"/>
        </w:rPr>
        <w:t>: es el</w:t>
      </w:r>
      <w:r w:rsidR="00DC17E7" w:rsidRPr="00653E80">
        <w:rPr>
          <w:rFonts w:ascii="Verdana" w:eastAsia="Times New Roman" w:hAnsi="Verdana" w:cs="Arial"/>
          <w:sz w:val="20"/>
          <w:szCs w:val="20"/>
          <w:lang w:val="es-MX" w:eastAsia="es-ES"/>
        </w:rPr>
        <w:t xml:space="preserve"> valor absoluto de la exposición neta de posiciones atadas al factor de riesgo i.</w:t>
      </w:r>
    </w:p>
    <w:p w14:paraId="5FFE55B6" w14:textId="77777777" w:rsidR="006134EB" w:rsidRDefault="006134EB" w:rsidP="00DC17E7">
      <w:pPr>
        <w:spacing w:after="0" w:line="240" w:lineRule="auto"/>
        <w:jc w:val="both"/>
        <w:rPr>
          <w:rFonts w:ascii="Verdana" w:eastAsia="Times New Roman" w:hAnsi="Verdana" w:cs="Arial"/>
          <w:sz w:val="20"/>
          <w:szCs w:val="20"/>
          <w:lang w:val="es-MX" w:eastAsia="es-ES"/>
        </w:rPr>
      </w:pPr>
    </w:p>
    <w:p w14:paraId="2CF17633" w14:textId="2FCC2D23"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oMath>
      <w:r w:rsidR="006134EB">
        <w:rPr>
          <w:rFonts w:ascii="Verdana" w:eastAsia="Times New Roman" w:hAnsi="Verdana" w:cs="Arial"/>
          <w:bCs/>
          <w:sz w:val="20"/>
          <w:szCs w:val="20"/>
          <w:lang w:val="es-MX" w:eastAsia="es-ES"/>
        </w:rPr>
        <w:t xml:space="preserve">: es la </w:t>
      </w:r>
      <w:r w:rsidR="006134EB">
        <w:rPr>
          <w:rFonts w:ascii="Verdana" w:eastAsia="Times New Roman" w:hAnsi="Verdana" w:cs="Arial"/>
          <w:sz w:val="20"/>
          <w:szCs w:val="20"/>
          <w:lang w:val="es-MX" w:eastAsia="es-ES"/>
        </w:rPr>
        <w:t>v</w:t>
      </w:r>
      <w:r w:rsidR="00DC17E7" w:rsidRPr="00653E80">
        <w:rPr>
          <w:rFonts w:ascii="Verdana" w:eastAsia="Times New Roman" w:hAnsi="Verdana" w:cs="Arial"/>
          <w:sz w:val="20"/>
          <w:szCs w:val="20"/>
          <w:lang w:val="es-MX" w:eastAsia="es-ES"/>
        </w:rPr>
        <w:t>olatilidad asociada al factor de riesgo i.</w:t>
      </w:r>
    </w:p>
    <w:p w14:paraId="08406EB3" w14:textId="77777777" w:rsidR="0097703B" w:rsidRDefault="0097703B" w:rsidP="00DC17E7">
      <w:pPr>
        <w:spacing w:after="0" w:line="240" w:lineRule="auto"/>
        <w:contextualSpacing/>
        <w:jc w:val="both"/>
        <w:rPr>
          <w:rFonts w:ascii="Verdana" w:eastAsia="Times New Roman" w:hAnsi="Verdana" w:cs="Arial"/>
          <w:b/>
          <w:sz w:val="20"/>
          <w:szCs w:val="20"/>
          <w:lang w:val="es-ES" w:eastAsia="es-ES"/>
        </w:rPr>
      </w:pPr>
    </w:p>
    <w:p w14:paraId="79E66865" w14:textId="4040927C"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r w:rsidRPr="00653E80">
        <w:rPr>
          <w:rFonts w:ascii="Verdana" w:eastAsia="Times New Roman" w:hAnsi="Verdana" w:cs="Arial"/>
          <w:b/>
          <w:sz w:val="20"/>
          <w:szCs w:val="20"/>
          <w:lang w:val="es-ES" w:eastAsia="es-ES"/>
        </w:rPr>
        <w:t>Evaluación del riesgo del precio de acciones o índices accionarios</w:t>
      </w:r>
    </w:p>
    <w:p w14:paraId="173FD28B"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067CEF0C" w14:textId="782966C9"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68</w:t>
      </w:r>
      <w:r w:rsidRPr="000E0B7B">
        <w:rPr>
          <w:rFonts w:ascii="Verdana" w:hAnsi="Verdana"/>
          <w:sz w:val="20"/>
          <w:szCs w:val="20"/>
        </w:rPr>
        <w:t>.</w:t>
      </w:r>
    </w:p>
    <w:p w14:paraId="4A2F8ADD" w14:textId="52F7C0A2" w:rsidR="00686EE0" w:rsidRPr="00D556B2"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exposición al riesgo de mercado como consecuencia de la variación en el nivel de precios de </w:t>
      </w:r>
      <w:r w:rsidR="00144478">
        <w:rPr>
          <w:rFonts w:ascii="Verdana" w:eastAsia="Times New Roman" w:hAnsi="Verdana" w:cs="Arial"/>
          <w:sz w:val="20"/>
          <w:szCs w:val="20"/>
          <w:lang w:val="es-MX" w:eastAsia="es-ES"/>
        </w:rPr>
        <w:t>estos instrumentos</w:t>
      </w:r>
      <w:r w:rsidRPr="00653E80">
        <w:rPr>
          <w:rFonts w:ascii="Verdana" w:eastAsia="Times New Roman" w:hAnsi="Verdana" w:cs="Arial"/>
          <w:sz w:val="20"/>
          <w:szCs w:val="20"/>
          <w:lang w:val="es-MX" w:eastAsia="es-ES"/>
        </w:rPr>
        <w:t xml:space="preserve"> debe calcularse de acuerdo con </w:t>
      </w:r>
      <w:r w:rsidR="00AD6C59">
        <w:rPr>
          <w:rFonts w:ascii="Verdana" w:eastAsia="Times New Roman" w:hAnsi="Verdana" w:cs="Arial"/>
          <w:sz w:val="20"/>
          <w:szCs w:val="20"/>
          <w:lang w:val="es-MX" w:eastAsia="es-ES"/>
        </w:rPr>
        <w:t>las siguientes instrucciones</w:t>
      </w:r>
      <w:r w:rsidR="00FF2BD4">
        <w:rPr>
          <w:rFonts w:ascii="Verdana" w:eastAsia="Times New Roman" w:hAnsi="Verdana" w:cs="Arial"/>
          <w:sz w:val="20"/>
          <w:szCs w:val="20"/>
          <w:lang w:val="es-MX" w:eastAsia="es-ES"/>
        </w:rPr>
        <w:t>.</w:t>
      </w:r>
    </w:p>
    <w:p w14:paraId="1B45D540" w14:textId="77777777" w:rsidR="00686EE0" w:rsidRPr="00653E80" w:rsidRDefault="00686EE0" w:rsidP="00DC17E7">
      <w:pPr>
        <w:spacing w:after="0" w:line="240" w:lineRule="auto"/>
        <w:jc w:val="both"/>
        <w:rPr>
          <w:rFonts w:ascii="Verdana" w:eastAsia="Times New Roman" w:hAnsi="Verdana" w:cs="Arial"/>
          <w:sz w:val="20"/>
          <w:szCs w:val="20"/>
          <w:lang w:val="es-ES_tradnl" w:eastAsia="es-ES"/>
        </w:rPr>
      </w:pPr>
    </w:p>
    <w:p w14:paraId="368C6C24" w14:textId="77777777" w:rsidR="00DC17E7" w:rsidRPr="0051192F" w:rsidRDefault="00DC17E7" w:rsidP="0051192F">
      <w:pPr>
        <w:pStyle w:val="Prrafodelista"/>
        <w:numPr>
          <w:ilvl w:val="0"/>
          <w:numId w:val="39"/>
        </w:numPr>
        <w:spacing w:after="0" w:line="240" w:lineRule="auto"/>
        <w:ind w:left="284" w:hanging="284"/>
        <w:jc w:val="both"/>
        <w:rPr>
          <w:rFonts w:ascii="Verdana" w:eastAsia="Times New Roman" w:hAnsi="Verdana" w:cs="Arial"/>
          <w:b/>
          <w:bCs/>
          <w:sz w:val="20"/>
          <w:szCs w:val="20"/>
          <w:lang w:val="es-ES_tradnl" w:eastAsia="es-ES"/>
        </w:rPr>
      </w:pPr>
      <w:r w:rsidRPr="0051192F">
        <w:rPr>
          <w:rFonts w:ascii="Verdana" w:eastAsia="Times New Roman" w:hAnsi="Verdana" w:cs="Arial"/>
          <w:b/>
          <w:bCs/>
          <w:sz w:val="20"/>
          <w:szCs w:val="20"/>
          <w:lang w:val="es-ES_tradnl" w:eastAsia="es-ES"/>
        </w:rPr>
        <w:t xml:space="preserve">Factores de riesgo asociados a precios de acciones </w:t>
      </w:r>
      <w:r w:rsidRPr="0097703B">
        <w:rPr>
          <w:rFonts w:ascii="Verdana" w:eastAsia="Times New Roman" w:hAnsi="Verdana" w:cs="Arial"/>
          <w:b/>
          <w:bCs/>
          <w:sz w:val="20"/>
          <w:szCs w:val="20"/>
          <w:lang w:val="es-ES_tradnl" w:eastAsia="es-ES"/>
        </w:rPr>
        <w:t>o índices accionarios</w:t>
      </w:r>
    </w:p>
    <w:p w14:paraId="441D6C28"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37CB1485" w14:textId="24ADEABA"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69</w:t>
      </w:r>
      <w:r w:rsidRPr="000E0B7B">
        <w:rPr>
          <w:rFonts w:ascii="Verdana" w:hAnsi="Verdana"/>
          <w:sz w:val="20"/>
          <w:szCs w:val="20"/>
        </w:rPr>
        <w:t>.</w:t>
      </w:r>
    </w:p>
    <w:p w14:paraId="04DF11EE" w14:textId="3222EE8E" w:rsidR="00DC17E7"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ES_tradnl" w:eastAsia="es-ES"/>
        </w:rPr>
        <w:t xml:space="preserve">La exposición neta que una entidad tenga en acciones emitidas en Colombia, índices de acciones nacionales y </w:t>
      </w:r>
      <w:r w:rsidR="0029676B">
        <w:rPr>
          <w:rFonts w:ascii="Verdana" w:eastAsia="Times New Roman" w:hAnsi="Verdana" w:cs="Arial"/>
          <w:sz w:val="20"/>
          <w:szCs w:val="20"/>
          <w:lang w:val="es-ES_tradnl" w:eastAsia="es-ES"/>
        </w:rPr>
        <w:t xml:space="preserve">de </w:t>
      </w:r>
      <w:r w:rsidRPr="00653E80">
        <w:rPr>
          <w:rFonts w:ascii="Verdana" w:eastAsia="Times New Roman" w:hAnsi="Verdana" w:cs="Arial"/>
          <w:sz w:val="20"/>
          <w:szCs w:val="20"/>
          <w:lang w:val="es-ES_tradnl" w:eastAsia="es-ES"/>
        </w:rPr>
        <w:t xml:space="preserve">acciones emitidas en el exterior y negociadas en Colombia, </w:t>
      </w:r>
      <w:r w:rsidRPr="00653E80">
        <w:rPr>
          <w:rFonts w:ascii="Verdana" w:eastAsia="Times New Roman" w:hAnsi="Verdana" w:cs="Arial"/>
          <w:sz w:val="20"/>
          <w:szCs w:val="20"/>
          <w:lang w:val="es-ES_tradnl" w:eastAsia="es-ES"/>
        </w:rPr>
        <w:lastRenderedPageBreak/>
        <w:t xml:space="preserve">estarán asociadas </w:t>
      </w:r>
      <w:r w:rsidRPr="00653E80">
        <w:rPr>
          <w:rFonts w:ascii="Verdana" w:eastAsia="Times New Roman" w:hAnsi="Verdana" w:cs="Arial"/>
          <w:sz w:val="20"/>
          <w:szCs w:val="20"/>
          <w:lang w:val="es-MX" w:eastAsia="es-ES"/>
        </w:rPr>
        <w:t xml:space="preserve">al factor de riesgo </w:t>
      </w:r>
      <w:r w:rsidRPr="004551F2">
        <w:rPr>
          <w:rFonts w:ascii="Verdana" w:eastAsia="Times New Roman" w:hAnsi="Verdana" w:cs="Arial"/>
          <w:i/>
          <w:iCs/>
          <w:sz w:val="20"/>
          <w:szCs w:val="20"/>
          <w:lang w:val="es-MX" w:eastAsia="es-ES"/>
        </w:rPr>
        <w:t>Acciones Colombia</w:t>
      </w:r>
      <w:r w:rsidRPr="00653E80">
        <w:rPr>
          <w:rFonts w:ascii="Verdana" w:eastAsia="Times New Roman" w:hAnsi="Verdana" w:cs="Arial"/>
          <w:sz w:val="20"/>
          <w:szCs w:val="20"/>
          <w:lang w:val="es-MX" w:eastAsia="es-ES"/>
        </w:rPr>
        <w:t xml:space="preserve">, </w:t>
      </w:r>
      <w:r w:rsidR="004551F2">
        <w:rPr>
          <w:rFonts w:ascii="Verdana" w:eastAsia="Times New Roman" w:hAnsi="Verdana" w:cs="Arial"/>
          <w:sz w:val="20"/>
          <w:szCs w:val="20"/>
          <w:lang w:val="es-MX" w:eastAsia="es-ES"/>
        </w:rPr>
        <w:t xml:space="preserve">que se </w:t>
      </w:r>
      <w:r w:rsidRPr="00653E80">
        <w:rPr>
          <w:rFonts w:ascii="Verdana" w:eastAsia="Times New Roman" w:hAnsi="Verdana" w:cs="Arial"/>
          <w:sz w:val="20"/>
          <w:szCs w:val="20"/>
          <w:lang w:val="es-MX" w:eastAsia="es-ES"/>
        </w:rPr>
        <w:t>calcula</w:t>
      </w:r>
      <w:r w:rsidR="004551F2">
        <w:rPr>
          <w:rFonts w:ascii="Verdana" w:eastAsia="Times New Roman" w:hAnsi="Verdana" w:cs="Arial"/>
          <w:sz w:val="20"/>
          <w:szCs w:val="20"/>
          <w:lang w:val="es-MX" w:eastAsia="es-ES"/>
        </w:rPr>
        <w:t xml:space="preserve"> </w:t>
      </w:r>
      <w:r w:rsidRPr="00653E80">
        <w:rPr>
          <w:rFonts w:ascii="Verdana" w:eastAsia="Times New Roman" w:hAnsi="Verdana" w:cs="Arial"/>
          <w:sz w:val="20"/>
          <w:szCs w:val="20"/>
          <w:lang w:val="es-MX" w:eastAsia="es-ES"/>
        </w:rPr>
        <w:t xml:space="preserve">a partir de un índice accionario de referencia para Colombia y </w:t>
      </w:r>
      <w:r w:rsidR="004551F2">
        <w:rPr>
          <w:rFonts w:ascii="Verdana" w:eastAsia="Times New Roman" w:hAnsi="Verdana" w:cs="Arial"/>
          <w:sz w:val="20"/>
          <w:szCs w:val="20"/>
          <w:lang w:val="es-MX" w:eastAsia="es-ES"/>
        </w:rPr>
        <w:t xml:space="preserve">se </w:t>
      </w:r>
      <w:r w:rsidRPr="00653E80">
        <w:rPr>
          <w:rFonts w:ascii="Verdana" w:eastAsia="Times New Roman" w:hAnsi="Verdana" w:cs="Arial"/>
          <w:sz w:val="20"/>
          <w:szCs w:val="20"/>
          <w:lang w:val="es-MX" w:eastAsia="es-ES"/>
        </w:rPr>
        <w:t>publica</w:t>
      </w:r>
      <w:r w:rsidR="004551F2">
        <w:rPr>
          <w:rFonts w:ascii="Verdana" w:eastAsia="Times New Roman" w:hAnsi="Verdana" w:cs="Arial"/>
          <w:sz w:val="20"/>
          <w:szCs w:val="20"/>
          <w:lang w:val="es-MX" w:eastAsia="es-ES"/>
        </w:rPr>
        <w:t xml:space="preserve"> </w:t>
      </w:r>
      <w:r w:rsidRPr="00653E80">
        <w:rPr>
          <w:rFonts w:ascii="Verdana" w:eastAsia="Times New Roman" w:hAnsi="Verdana" w:cs="Arial"/>
          <w:sz w:val="20"/>
          <w:szCs w:val="20"/>
          <w:lang w:val="es-MX" w:eastAsia="es-ES"/>
        </w:rPr>
        <w:t>en la página web de la SFC.</w:t>
      </w:r>
    </w:p>
    <w:p w14:paraId="7CBF823E" w14:textId="77777777" w:rsidR="00DC17E7" w:rsidRPr="00653E80" w:rsidRDefault="00DC17E7" w:rsidP="0097703B">
      <w:pPr>
        <w:spacing w:after="0" w:line="240" w:lineRule="auto"/>
        <w:jc w:val="both"/>
        <w:rPr>
          <w:rFonts w:ascii="Verdana" w:eastAsia="Times New Roman" w:hAnsi="Verdana" w:cs="Arial"/>
          <w:sz w:val="20"/>
          <w:szCs w:val="20"/>
          <w:lang w:val="es-MX" w:eastAsia="es-ES"/>
        </w:rPr>
      </w:pPr>
    </w:p>
    <w:p w14:paraId="59F479DC" w14:textId="714B085A"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70</w:t>
      </w:r>
      <w:r w:rsidRPr="000E0B7B">
        <w:rPr>
          <w:rFonts w:ascii="Verdana" w:hAnsi="Verdana"/>
          <w:sz w:val="20"/>
          <w:szCs w:val="20"/>
        </w:rPr>
        <w:t>.</w:t>
      </w:r>
    </w:p>
    <w:p w14:paraId="12F3D826" w14:textId="08B021DF"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exposición neta que una entidad tenga en </w:t>
      </w:r>
      <w:r w:rsidRPr="00653E80">
        <w:rPr>
          <w:rFonts w:ascii="Verdana" w:eastAsia="Times New Roman" w:hAnsi="Verdana" w:cs="Arial"/>
          <w:sz w:val="20"/>
          <w:szCs w:val="20"/>
          <w:lang w:val="es-ES_tradnl" w:eastAsia="es-ES"/>
        </w:rPr>
        <w:t xml:space="preserve">índices de acciones internacionales y acciones emitidas en países del exterior estará asociada al factor de riesgo </w:t>
      </w:r>
      <w:r w:rsidRPr="004551F2">
        <w:rPr>
          <w:rFonts w:ascii="Verdana" w:eastAsia="Times New Roman" w:hAnsi="Verdana" w:cs="Arial"/>
          <w:i/>
          <w:iCs/>
          <w:sz w:val="20"/>
          <w:szCs w:val="20"/>
          <w:lang w:val="es-ES_tradnl" w:eastAsia="es-ES"/>
        </w:rPr>
        <w:t>Acciones Global</w:t>
      </w:r>
      <w:r w:rsidRPr="00653E80">
        <w:rPr>
          <w:rFonts w:ascii="Verdana" w:eastAsia="Times New Roman" w:hAnsi="Verdana" w:cs="Arial"/>
          <w:sz w:val="20"/>
          <w:szCs w:val="20"/>
          <w:lang w:val="es-ES_tradnl" w:eastAsia="es-ES"/>
        </w:rPr>
        <w:t xml:space="preserve">, el cual </w:t>
      </w:r>
      <w:r w:rsidR="004551F2">
        <w:rPr>
          <w:rFonts w:ascii="Verdana" w:eastAsia="Times New Roman" w:hAnsi="Verdana" w:cs="Arial"/>
          <w:sz w:val="20"/>
          <w:szCs w:val="20"/>
          <w:lang w:val="es-ES_tradnl" w:eastAsia="es-ES"/>
        </w:rPr>
        <w:t>s</w:t>
      </w:r>
      <w:r w:rsidRPr="00653E80">
        <w:rPr>
          <w:rFonts w:ascii="Verdana" w:eastAsia="Times New Roman" w:hAnsi="Verdana" w:cs="Arial"/>
          <w:sz w:val="20"/>
          <w:szCs w:val="20"/>
          <w:lang w:val="es-ES_tradnl" w:eastAsia="es-ES"/>
        </w:rPr>
        <w:t>e</w:t>
      </w:r>
      <w:r w:rsidR="004551F2">
        <w:rPr>
          <w:rFonts w:ascii="Verdana" w:eastAsia="Times New Roman" w:hAnsi="Verdana" w:cs="Arial"/>
          <w:sz w:val="20"/>
          <w:szCs w:val="20"/>
          <w:lang w:val="es-ES_tradnl" w:eastAsia="es-ES"/>
        </w:rPr>
        <w:t xml:space="preserve"> </w:t>
      </w:r>
      <w:r w:rsidRPr="00653E80">
        <w:rPr>
          <w:rFonts w:ascii="Verdana" w:eastAsia="Times New Roman" w:hAnsi="Verdana" w:cs="Arial"/>
          <w:sz w:val="20"/>
          <w:szCs w:val="20"/>
          <w:lang w:val="es-ES_tradnl" w:eastAsia="es-ES"/>
        </w:rPr>
        <w:t xml:space="preserve">calcula a partir de un índice accionario de referencia para acciones del exterior y </w:t>
      </w:r>
      <w:r w:rsidR="004551F2">
        <w:rPr>
          <w:rFonts w:ascii="Verdana" w:eastAsia="Times New Roman" w:hAnsi="Verdana" w:cs="Arial"/>
          <w:sz w:val="20"/>
          <w:szCs w:val="20"/>
          <w:lang w:val="es-ES_tradnl" w:eastAsia="es-ES"/>
        </w:rPr>
        <w:t xml:space="preserve">se </w:t>
      </w:r>
      <w:r w:rsidRPr="00653E80">
        <w:rPr>
          <w:rFonts w:ascii="Verdana" w:eastAsia="Times New Roman" w:hAnsi="Verdana" w:cs="Arial"/>
          <w:sz w:val="20"/>
          <w:szCs w:val="20"/>
          <w:lang w:val="es-ES_tradnl" w:eastAsia="es-ES"/>
        </w:rPr>
        <w:t>publica</w:t>
      </w:r>
      <w:r w:rsidR="004551F2">
        <w:rPr>
          <w:rFonts w:ascii="Verdana" w:eastAsia="Times New Roman" w:hAnsi="Verdana" w:cs="Arial"/>
          <w:sz w:val="20"/>
          <w:szCs w:val="20"/>
          <w:lang w:val="es-ES_tradnl" w:eastAsia="es-ES"/>
        </w:rPr>
        <w:t xml:space="preserve"> </w:t>
      </w:r>
      <w:r w:rsidRPr="00653E80">
        <w:rPr>
          <w:rFonts w:ascii="Verdana" w:eastAsia="Times New Roman" w:hAnsi="Verdana" w:cs="Arial"/>
          <w:sz w:val="20"/>
          <w:szCs w:val="20"/>
          <w:lang w:val="es-ES_tradnl" w:eastAsia="es-ES"/>
        </w:rPr>
        <w:t>en la página web de la SFC.</w:t>
      </w:r>
    </w:p>
    <w:p w14:paraId="2FB7DA82"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3B46899D" w14:textId="77777777" w:rsidR="00DC17E7" w:rsidRPr="00083738" w:rsidRDefault="00DC17E7" w:rsidP="00083738">
      <w:pPr>
        <w:pStyle w:val="Prrafodelista"/>
        <w:numPr>
          <w:ilvl w:val="0"/>
          <w:numId w:val="39"/>
        </w:numPr>
        <w:spacing w:after="0" w:line="240" w:lineRule="auto"/>
        <w:ind w:left="284" w:hanging="284"/>
        <w:jc w:val="both"/>
        <w:rPr>
          <w:rFonts w:ascii="Verdana" w:eastAsia="Times New Roman" w:hAnsi="Verdana" w:cs="Arial"/>
          <w:b/>
          <w:bCs/>
          <w:sz w:val="20"/>
          <w:szCs w:val="20"/>
          <w:lang w:val="es-ES_tradnl" w:eastAsia="es-ES"/>
        </w:rPr>
      </w:pPr>
      <w:r w:rsidRPr="00083738">
        <w:rPr>
          <w:rFonts w:ascii="Verdana" w:eastAsia="Times New Roman" w:hAnsi="Verdana" w:cs="Arial"/>
          <w:b/>
          <w:bCs/>
          <w:sz w:val="20"/>
          <w:szCs w:val="20"/>
          <w:lang w:val="es-MX" w:eastAsia="es-ES"/>
        </w:rPr>
        <w:t>Cálculo de la exposición neta y sensibilidad al riesgo</w:t>
      </w:r>
    </w:p>
    <w:p w14:paraId="1C1A2474"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31F53681" w14:textId="6A68144A"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71</w:t>
      </w:r>
      <w:r w:rsidRPr="000E0B7B">
        <w:rPr>
          <w:rFonts w:ascii="Verdana" w:hAnsi="Verdana"/>
          <w:sz w:val="20"/>
          <w:szCs w:val="20"/>
        </w:rPr>
        <w:t>.</w:t>
      </w:r>
    </w:p>
    <w:p w14:paraId="2738CDD4"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r w:rsidRPr="00653E80">
        <w:rPr>
          <w:rFonts w:ascii="Verdana" w:eastAsia="Times New Roman" w:hAnsi="Verdana" w:cs="Arial"/>
          <w:sz w:val="20"/>
          <w:szCs w:val="20"/>
          <w:lang w:val="es-ES_tradnl" w:eastAsia="es-ES"/>
        </w:rPr>
        <w:t>La exposición neta en acciones o índices de acciones, deberán calcularse de la siguiente forma:</w:t>
      </w:r>
    </w:p>
    <w:p w14:paraId="493D051F"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44FA5E90" w14:textId="77777777" w:rsidR="00DC17E7" w:rsidRPr="00653E80" w:rsidRDefault="00DC17E7" w:rsidP="00DC17E7">
      <w:pPr>
        <w:numPr>
          <w:ilvl w:val="0"/>
          <w:numId w:val="29"/>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posición neta de las operaciones </w:t>
      </w:r>
      <w:r w:rsidRPr="00653E80">
        <w:rPr>
          <w:rFonts w:ascii="Verdana" w:eastAsia="Times New Roman" w:hAnsi="Verdana" w:cs="Arial"/>
          <w:i/>
          <w:iCs/>
          <w:sz w:val="20"/>
          <w:szCs w:val="20"/>
          <w:lang w:val="es-MX" w:eastAsia="es-ES"/>
        </w:rPr>
        <w:t>spot</w:t>
      </w:r>
      <w:r w:rsidRPr="00653E80">
        <w:rPr>
          <w:rFonts w:ascii="Verdana" w:eastAsia="Times New Roman" w:hAnsi="Verdana" w:cs="Arial"/>
          <w:sz w:val="20"/>
          <w:szCs w:val="20"/>
          <w:lang w:val="es-MX" w:eastAsia="es-ES"/>
        </w:rPr>
        <w:t xml:space="preserve"> de la entidad, calculada como la diferencia entre las posiciones largas y cortas en acciones o índices de acciones.  </w:t>
      </w:r>
    </w:p>
    <w:p w14:paraId="540A8E28" w14:textId="77777777" w:rsidR="00DC17E7" w:rsidRPr="00653E80" w:rsidRDefault="00DC17E7" w:rsidP="00DC17E7">
      <w:pPr>
        <w:spacing w:after="0" w:line="240" w:lineRule="auto"/>
        <w:ind w:left="567" w:hanging="567"/>
        <w:jc w:val="both"/>
        <w:rPr>
          <w:rFonts w:ascii="Verdana" w:eastAsia="Times New Roman" w:hAnsi="Verdana" w:cs="Arial"/>
          <w:sz w:val="20"/>
          <w:szCs w:val="20"/>
          <w:lang w:val="es-MX" w:eastAsia="es-ES"/>
        </w:rPr>
      </w:pPr>
    </w:p>
    <w:p w14:paraId="33FC7830" w14:textId="41C77666" w:rsidR="00DC17E7" w:rsidRPr="00653E80" w:rsidRDefault="00DC17E7" w:rsidP="00DC17E7">
      <w:pPr>
        <w:numPr>
          <w:ilvl w:val="0"/>
          <w:numId w:val="29"/>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posición neta de las operaciones </w:t>
      </w:r>
      <w:r w:rsidRPr="00653E80">
        <w:rPr>
          <w:rFonts w:ascii="Verdana" w:eastAsia="Times New Roman" w:hAnsi="Verdana" w:cs="Arial"/>
          <w:i/>
          <w:iCs/>
          <w:sz w:val="20"/>
          <w:szCs w:val="20"/>
          <w:lang w:val="es-MX" w:eastAsia="es-ES"/>
        </w:rPr>
        <w:t xml:space="preserve">forward </w:t>
      </w:r>
      <w:r w:rsidRPr="00653E80">
        <w:rPr>
          <w:rFonts w:ascii="Verdana" w:eastAsia="Times New Roman" w:hAnsi="Verdana" w:cs="Arial"/>
          <w:sz w:val="20"/>
          <w:szCs w:val="20"/>
          <w:lang w:val="es-MX" w:eastAsia="es-ES"/>
        </w:rPr>
        <w:t>de la entidad, calculada como la diferencia entre las posiciones largas en forwards, futuros y operaciones a plazo sobre el subyacente acción o índice de acciones, y las posiciones cortas en dichos instrumentos.</w:t>
      </w:r>
    </w:p>
    <w:p w14:paraId="779B933D" w14:textId="77777777" w:rsidR="00DC17E7" w:rsidRPr="00653E80" w:rsidRDefault="00DC17E7" w:rsidP="00DC17E7">
      <w:pPr>
        <w:spacing w:after="0" w:line="240" w:lineRule="auto"/>
        <w:ind w:left="567" w:hanging="567"/>
        <w:jc w:val="both"/>
        <w:rPr>
          <w:rFonts w:ascii="Verdana" w:eastAsia="Times New Roman" w:hAnsi="Verdana" w:cs="Arial"/>
          <w:sz w:val="20"/>
          <w:szCs w:val="20"/>
          <w:lang w:val="es-MX" w:eastAsia="es-ES"/>
        </w:rPr>
      </w:pPr>
    </w:p>
    <w:p w14:paraId="266C8824" w14:textId="77777777" w:rsidR="00DC17E7" w:rsidRPr="00653E80" w:rsidRDefault="00DC17E7" w:rsidP="00DC17E7">
      <w:pPr>
        <w:numPr>
          <w:ilvl w:val="0"/>
          <w:numId w:val="29"/>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La posición neta de las operaciones en derivados de la entidad, cuyo subyacente sean acciones o índices de acciones.</w:t>
      </w:r>
    </w:p>
    <w:p w14:paraId="2CAFA605" w14:textId="77777777" w:rsidR="00DC17E7" w:rsidRPr="00653E80" w:rsidRDefault="00DC17E7" w:rsidP="00DC17E7">
      <w:pPr>
        <w:spacing w:after="0" w:line="240" w:lineRule="auto"/>
        <w:ind w:left="567" w:hanging="567"/>
        <w:jc w:val="both"/>
        <w:rPr>
          <w:rFonts w:ascii="Verdana" w:eastAsia="Times New Roman" w:hAnsi="Verdana" w:cs="Arial"/>
          <w:sz w:val="20"/>
          <w:szCs w:val="20"/>
          <w:lang w:val="es-MX" w:eastAsia="es-ES"/>
        </w:rPr>
      </w:pPr>
    </w:p>
    <w:p w14:paraId="6980D898" w14:textId="14C46094" w:rsidR="00DC17E7" w:rsidRPr="00653E80" w:rsidRDefault="00DC17E7" w:rsidP="00DC17E7">
      <w:pPr>
        <w:numPr>
          <w:ilvl w:val="0"/>
          <w:numId w:val="29"/>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Adicionalmente, cuando corresponda según lo previsto </w:t>
      </w:r>
      <w:r w:rsidR="00942A79" w:rsidRPr="00110F42">
        <w:rPr>
          <w:rFonts w:ascii="Verdana" w:eastAsia="Times New Roman" w:hAnsi="Verdana" w:cs="Arial"/>
          <w:sz w:val="20"/>
          <w:szCs w:val="20"/>
          <w:lang w:val="es-MX" w:eastAsia="es-ES"/>
        </w:rPr>
        <w:t>entre los</w:t>
      </w:r>
      <w:r w:rsidR="00942A79">
        <w:rPr>
          <w:rFonts w:ascii="Verdana" w:eastAsia="Times New Roman" w:hAnsi="Verdana" w:cs="Arial"/>
          <w:sz w:val="20"/>
          <w:szCs w:val="20"/>
          <w:lang w:val="es-MX" w:eastAsia="es-ES"/>
        </w:rPr>
        <w:t xml:space="preserve"> párrafos 1.1.A7.</w:t>
      </w:r>
      <w:r w:rsidR="00FE2807">
        <w:rPr>
          <w:rFonts w:ascii="Verdana" w:eastAsia="Times New Roman" w:hAnsi="Verdana" w:cs="Arial"/>
          <w:sz w:val="20"/>
          <w:szCs w:val="20"/>
          <w:lang w:val="es-MX" w:eastAsia="es-ES"/>
        </w:rPr>
        <w:t>86</w:t>
      </w:r>
      <w:r w:rsidR="00942A79">
        <w:rPr>
          <w:rFonts w:ascii="Verdana" w:eastAsia="Times New Roman" w:hAnsi="Verdana" w:cs="Arial"/>
          <w:sz w:val="20"/>
          <w:szCs w:val="20"/>
          <w:lang w:val="es-MX" w:eastAsia="es-ES"/>
        </w:rPr>
        <w:t>. y 1.1.A7.9</w:t>
      </w:r>
      <w:r w:rsidR="00FE2807">
        <w:rPr>
          <w:rFonts w:ascii="Verdana" w:eastAsia="Times New Roman" w:hAnsi="Verdana" w:cs="Arial"/>
          <w:sz w:val="20"/>
          <w:szCs w:val="20"/>
          <w:lang w:val="es-MX" w:eastAsia="es-ES"/>
        </w:rPr>
        <w:t>1</w:t>
      </w:r>
      <w:r w:rsidR="00942A79">
        <w:rPr>
          <w:rFonts w:ascii="Verdana" w:eastAsia="Times New Roman" w:hAnsi="Verdana" w:cs="Arial"/>
          <w:sz w:val="20"/>
          <w:szCs w:val="20"/>
          <w:lang w:val="es-MX" w:eastAsia="es-ES"/>
        </w:rPr>
        <w:t>.</w:t>
      </w:r>
      <w:r w:rsidR="00942A79" w:rsidRPr="00653E80">
        <w:rPr>
          <w:rFonts w:ascii="Verdana" w:eastAsia="Times New Roman" w:hAnsi="Verdana" w:cs="Arial"/>
          <w:sz w:val="20"/>
          <w:szCs w:val="20"/>
          <w:lang w:val="es-MX" w:eastAsia="es-ES"/>
        </w:rPr>
        <w:t>,</w:t>
      </w:r>
      <w:r w:rsidRPr="00653E80">
        <w:rPr>
          <w:rFonts w:ascii="Verdana" w:eastAsia="Times New Roman" w:hAnsi="Verdana" w:cs="Arial"/>
          <w:sz w:val="20"/>
          <w:szCs w:val="20"/>
          <w:lang w:val="es-MX" w:eastAsia="es-ES"/>
        </w:rPr>
        <w:t xml:space="preserve"> las posiciones delta ponderadas de opciones en acciones.</w:t>
      </w:r>
    </w:p>
    <w:p w14:paraId="0F0223B3"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602053C1" w14:textId="703ED127"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72</w:t>
      </w:r>
      <w:r w:rsidRPr="000E0B7B">
        <w:rPr>
          <w:rFonts w:ascii="Verdana" w:hAnsi="Verdana"/>
          <w:sz w:val="20"/>
          <w:szCs w:val="20"/>
        </w:rPr>
        <w:t>.</w:t>
      </w:r>
    </w:p>
    <w:p w14:paraId="533A0920"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Entonces el valor en riesgo para estos factores de riesgo se calculará de la siguiente forma:</w:t>
      </w:r>
    </w:p>
    <w:p w14:paraId="747CEDAF" w14:textId="77777777" w:rsidR="00DC17E7" w:rsidRDefault="00DC17E7" w:rsidP="00DC17E7">
      <w:pPr>
        <w:spacing w:after="0" w:line="240" w:lineRule="auto"/>
        <w:jc w:val="both"/>
        <w:rPr>
          <w:rFonts w:ascii="Verdana" w:eastAsia="Times New Roman" w:hAnsi="Verdana" w:cs="Arial"/>
          <w:sz w:val="20"/>
          <w:szCs w:val="20"/>
          <w:lang w:val="es-MX" w:eastAsia="es-ES"/>
        </w:rPr>
      </w:pPr>
    </w:p>
    <w:p w14:paraId="7D4535E9" w14:textId="77777777" w:rsidR="00083738" w:rsidRPr="00653E80" w:rsidRDefault="00D556B2" w:rsidP="00083738">
      <w:pPr>
        <w:spacing w:after="0" w:line="240" w:lineRule="auto"/>
        <w:jc w:val="both"/>
        <w:rPr>
          <w:rFonts w:ascii="Verdana" w:eastAsia="Times New Roman" w:hAnsi="Verdana" w:cs="Arial"/>
          <w:sz w:val="20"/>
          <w:szCs w:val="20"/>
          <w:lang w:val="es-MX" w:eastAsia="es-ES"/>
        </w:rPr>
      </w:pPr>
      <m:oMathPara>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EN</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*(2,33*</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oMath>
      </m:oMathPara>
    </w:p>
    <w:p w14:paraId="15B42098" w14:textId="77777777" w:rsidR="00DC17E7" w:rsidRPr="00653E80" w:rsidRDefault="00DC17E7" w:rsidP="00DC17E7">
      <w:pPr>
        <w:spacing w:after="0" w:line="240" w:lineRule="auto"/>
        <w:jc w:val="both"/>
        <w:rPr>
          <w:rFonts w:ascii="Verdana" w:eastAsia="Times New Roman" w:hAnsi="Verdana" w:cs="Arial"/>
          <w:position w:val="-12"/>
          <w:sz w:val="20"/>
          <w:szCs w:val="20"/>
          <w:lang w:val="es-MX" w:eastAsia="es-ES"/>
        </w:rPr>
      </w:pPr>
    </w:p>
    <w:p w14:paraId="3A53117B"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Donde:</w:t>
      </w:r>
    </w:p>
    <w:p w14:paraId="1FD2603F"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64C30C14" w14:textId="77E6C4B6"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oMath>
      <w:r w:rsidR="00C96542">
        <w:rPr>
          <w:rFonts w:ascii="Verdana" w:eastAsia="Times New Roman" w:hAnsi="Verdana" w:cs="Arial"/>
          <w:bCs/>
          <w:sz w:val="20"/>
          <w:szCs w:val="20"/>
          <w:lang w:val="es-MX" w:eastAsia="es-ES"/>
        </w:rPr>
        <w:t>:</w:t>
      </w:r>
      <w:r w:rsidR="00C96542" w:rsidRPr="00653E80">
        <w:rPr>
          <w:rFonts w:ascii="Verdana" w:eastAsia="Times New Roman" w:hAnsi="Verdana" w:cs="Arial"/>
          <w:sz w:val="20"/>
          <w:szCs w:val="20"/>
          <w:lang w:val="es-MX" w:eastAsia="es-ES"/>
        </w:rPr>
        <w:t xml:space="preserve"> </w:t>
      </w:r>
      <w:r w:rsidR="00C96542">
        <w:rPr>
          <w:rFonts w:ascii="Verdana" w:eastAsia="Times New Roman" w:hAnsi="Verdana" w:cs="Arial"/>
          <w:sz w:val="20"/>
          <w:szCs w:val="20"/>
          <w:lang w:val="es-MX" w:eastAsia="es-ES"/>
        </w:rPr>
        <w:t>es el v</w:t>
      </w:r>
      <w:r w:rsidR="00DC17E7" w:rsidRPr="00653E80">
        <w:rPr>
          <w:rFonts w:ascii="Verdana" w:eastAsia="Times New Roman" w:hAnsi="Verdana" w:cs="Arial"/>
          <w:sz w:val="20"/>
          <w:szCs w:val="20"/>
          <w:lang w:val="es-MX" w:eastAsia="es-ES"/>
        </w:rPr>
        <w:t xml:space="preserve">alor en riesgo por variación en el factor de riesgo i, i </w:t>
      </w:r>
      <w:r w:rsidR="00FC6EE5">
        <w:rPr>
          <w:rFonts w:ascii="Verdana" w:eastAsia="Times New Roman" w:hAnsi="Verdana" w:cs="Arial"/>
          <w:sz w:val="20"/>
          <w:szCs w:val="20"/>
          <w:lang w:val="es-MX" w:eastAsia="es-ES"/>
        </w:rPr>
        <w:t>= (</w:t>
      </w:r>
      <w:r w:rsidR="00FC510E" w:rsidRPr="00F130A5">
        <w:rPr>
          <w:rFonts w:ascii="Verdana" w:eastAsia="Times New Roman" w:hAnsi="Verdana" w:cs="Arial"/>
          <w:sz w:val="20"/>
          <w:szCs w:val="20"/>
          <w:lang w:val="es-MX" w:eastAsia="es-ES"/>
        </w:rPr>
        <w:t>párrafos 1.1.A7.6</w:t>
      </w:r>
      <w:r w:rsidR="00A64594" w:rsidRPr="00F130A5">
        <w:rPr>
          <w:rFonts w:ascii="Verdana" w:eastAsia="Times New Roman" w:hAnsi="Verdana" w:cs="Arial"/>
          <w:sz w:val="20"/>
          <w:szCs w:val="20"/>
          <w:lang w:val="es-MX" w:eastAsia="es-ES"/>
        </w:rPr>
        <w:t>3</w:t>
      </w:r>
      <w:r w:rsidR="00FC510E" w:rsidRPr="00F130A5">
        <w:rPr>
          <w:rFonts w:ascii="Verdana" w:eastAsia="Times New Roman" w:hAnsi="Verdana" w:cs="Arial"/>
          <w:sz w:val="20"/>
          <w:szCs w:val="20"/>
          <w:lang w:val="es-MX" w:eastAsia="es-ES"/>
        </w:rPr>
        <w:t>. y 1.1.</w:t>
      </w:r>
      <w:r w:rsidR="00A64594" w:rsidRPr="00F130A5">
        <w:rPr>
          <w:rFonts w:ascii="Verdana" w:eastAsia="Times New Roman" w:hAnsi="Verdana" w:cs="Arial"/>
          <w:sz w:val="20"/>
          <w:szCs w:val="20"/>
          <w:lang w:val="es-MX" w:eastAsia="es-ES"/>
        </w:rPr>
        <w:t>A</w:t>
      </w:r>
      <w:r w:rsidR="00FC510E" w:rsidRPr="00F130A5">
        <w:rPr>
          <w:rFonts w:ascii="Verdana" w:eastAsia="Times New Roman" w:hAnsi="Verdana" w:cs="Arial"/>
          <w:sz w:val="20"/>
          <w:szCs w:val="20"/>
          <w:lang w:val="es-MX" w:eastAsia="es-ES"/>
        </w:rPr>
        <w:t>7.6</w:t>
      </w:r>
      <w:r w:rsidR="002C7D31" w:rsidRPr="00F130A5">
        <w:rPr>
          <w:rFonts w:ascii="Verdana" w:eastAsia="Times New Roman" w:hAnsi="Verdana" w:cs="Arial"/>
          <w:sz w:val="20"/>
          <w:szCs w:val="20"/>
          <w:lang w:val="es-MX" w:eastAsia="es-ES"/>
        </w:rPr>
        <w:t>4</w:t>
      </w:r>
      <w:r w:rsidR="00FC510E" w:rsidRPr="00F130A5">
        <w:rPr>
          <w:rFonts w:ascii="Verdana" w:eastAsia="Times New Roman" w:hAnsi="Verdana" w:cs="Arial"/>
          <w:sz w:val="20"/>
          <w:szCs w:val="20"/>
          <w:lang w:val="es-MX" w:eastAsia="es-ES"/>
        </w:rPr>
        <w:t>.)</w:t>
      </w:r>
    </w:p>
    <w:p w14:paraId="73D01FBE" w14:textId="77777777" w:rsidR="00C96542" w:rsidRDefault="00C96542" w:rsidP="00DC17E7">
      <w:pPr>
        <w:spacing w:after="0" w:line="240" w:lineRule="auto"/>
        <w:jc w:val="both"/>
        <w:rPr>
          <w:rFonts w:ascii="Verdana" w:eastAsia="Times New Roman" w:hAnsi="Verdana" w:cs="Arial"/>
          <w:sz w:val="20"/>
          <w:szCs w:val="20"/>
          <w:lang w:val="es-MX" w:eastAsia="es-ES"/>
        </w:rPr>
      </w:pPr>
    </w:p>
    <w:p w14:paraId="29B34823" w14:textId="27555494"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EN</m:t>
            </m:r>
          </m:e>
          <m:sub>
            <m:r>
              <w:rPr>
                <w:rFonts w:ascii="Cambria Math" w:eastAsia="Times New Roman" w:hAnsi="Cambria Math" w:cs="Arial"/>
                <w:sz w:val="20"/>
                <w:szCs w:val="20"/>
                <w:lang w:val="es-MX" w:eastAsia="es-ES"/>
              </w:rPr>
              <m:t>i</m:t>
            </m:r>
          </m:sub>
        </m:sSub>
      </m:oMath>
      <w:r w:rsidR="00C96542">
        <w:rPr>
          <w:rFonts w:ascii="Verdana" w:eastAsia="Times New Roman" w:hAnsi="Verdana" w:cs="Arial"/>
          <w:bCs/>
          <w:sz w:val="20"/>
          <w:szCs w:val="20"/>
          <w:lang w:val="es-MX" w:eastAsia="es-ES"/>
        </w:rPr>
        <w:t xml:space="preserve">: es el </w:t>
      </w:r>
      <w:r w:rsidR="00DC17E7" w:rsidRPr="00653E80">
        <w:rPr>
          <w:rFonts w:ascii="Verdana" w:eastAsia="Times New Roman" w:hAnsi="Verdana" w:cs="Arial"/>
          <w:sz w:val="20"/>
          <w:szCs w:val="20"/>
          <w:lang w:val="es-MX" w:eastAsia="es-ES"/>
        </w:rPr>
        <w:t>valor absoluto de la exposición neta de posiciones atadas al factor de riesgo i.</w:t>
      </w:r>
    </w:p>
    <w:p w14:paraId="15FB7C4D" w14:textId="77777777" w:rsidR="00C96542" w:rsidRDefault="00C96542" w:rsidP="00DC17E7">
      <w:pPr>
        <w:spacing w:after="0" w:line="240" w:lineRule="auto"/>
        <w:jc w:val="both"/>
        <w:rPr>
          <w:rFonts w:ascii="Verdana" w:eastAsia="Times New Roman" w:hAnsi="Verdana" w:cs="Arial"/>
          <w:sz w:val="20"/>
          <w:szCs w:val="20"/>
          <w:lang w:val="es-MX" w:eastAsia="es-ES"/>
        </w:rPr>
      </w:pPr>
    </w:p>
    <w:p w14:paraId="5DE33DA1" w14:textId="334DB3CB"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oMath>
      <w:r w:rsidR="00DC17E7" w:rsidRPr="00653E80">
        <w:rPr>
          <w:rFonts w:ascii="Verdana" w:eastAsia="Times New Roman" w:hAnsi="Verdana" w:cs="Arial"/>
          <w:sz w:val="20"/>
          <w:szCs w:val="20"/>
          <w:lang w:val="es-MX" w:eastAsia="es-ES"/>
        </w:rPr>
        <w:t xml:space="preserve">: </w:t>
      </w:r>
      <w:r w:rsidR="00C96542">
        <w:rPr>
          <w:rFonts w:ascii="Verdana" w:eastAsia="Times New Roman" w:hAnsi="Verdana" w:cs="Arial"/>
          <w:sz w:val="20"/>
          <w:szCs w:val="20"/>
          <w:lang w:val="es-MX" w:eastAsia="es-ES"/>
        </w:rPr>
        <w:t>es la v</w:t>
      </w:r>
      <w:r w:rsidR="00DC17E7" w:rsidRPr="00653E80">
        <w:rPr>
          <w:rFonts w:ascii="Verdana" w:eastAsia="Times New Roman" w:hAnsi="Verdana" w:cs="Arial"/>
          <w:sz w:val="20"/>
          <w:szCs w:val="20"/>
          <w:lang w:val="es-MX" w:eastAsia="es-ES"/>
        </w:rPr>
        <w:t>olatilidad asociada al factor de riesgo i.</w:t>
      </w:r>
    </w:p>
    <w:p w14:paraId="1276369E"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5C1A150D" w14:textId="17B9867E" w:rsidR="00DC17E7" w:rsidRPr="00653E80" w:rsidRDefault="00DC17E7" w:rsidP="00DC17E7">
      <w:pPr>
        <w:spacing w:after="0" w:line="240" w:lineRule="auto"/>
        <w:contextualSpacing/>
        <w:jc w:val="both"/>
        <w:rPr>
          <w:rFonts w:ascii="Verdana" w:eastAsia="Times New Roman" w:hAnsi="Verdana" w:cs="Arial"/>
          <w:b/>
          <w:bCs/>
          <w:sz w:val="20"/>
          <w:szCs w:val="20"/>
          <w:lang w:val="es-ES" w:eastAsia="es-ES"/>
        </w:rPr>
      </w:pPr>
      <w:r w:rsidRPr="00653E80">
        <w:rPr>
          <w:rFonts w:ascii="Verdana" w:eastAsia="Times New Roman" w:hAnsi="Verdana" w:cs="Arial"/>
          <w:b/>
          <w:bCs/>
          <w:sz w:val="20"/>
          <w:szCs w:val="20"/>
          <w:lang w:val="es-ES" w:eastAsia="es-ES"/>
        </w:rPr>
        <w:t xml:space="preserve">Evaluación del riesgo de mercado </w:t>
      </w:r>
      <w:r w:rsidR="00086C6E">
        <w:rPr>
          <w:rFonts w:ascii="Verdana" w:eastAsia="Times New Roman" w:hAnsi="Verdana" w:cs="Arial"/>
          <w:b/>
          <w:bCs/>
          <w:sz w:val="20"/>
          <w:szCs w:val="20"/>
          <w:lang w:val="es-ES" w:eastAsia="es-ES"/>
        </w:rPr>
        <w:t xml:space="preserve">de </w:t>
      </w:r>
      <w:r w:rsidRPr="00653E80">
        <w:rPr>
          <w:rFonts w:ascii="Verdana" w:eastAsia="Times New Roman" w:hAnsi="Verdana" w:cs="Arial"/>
          <w:b/>
          <w:bCs/>
          <w:sz w:val="20"/>
          <w:szCs w:val="20"/>
          <w:lang w:val="es-ES" w:eastAsia="es-ES"/>
        </w:rPr>
        <w:t>inversiones en FIC</w:t>
      </w:r>
    </w:p>
    <w:p w14:paraId="6FA682C4" w14:textId="77777777" w:rsidR="00DC17E7" w:rsidRDefault="00DC17E7" w:rsidP="00DC17E7">
      <w:pPr>
        <w:spacing w:after="0" w:line="240" w:lineRule="auto"/>
        <w:contextualSpacing/>
        <w:jc w:val="both"/>
        <w:rPr>
          <w:rFonts w:ascii="Verdana" w:eastAsia="Times New Roman" w:hAnsi="Verdana" w:cs="Arial"/>
          <w:sz w:val="20"/>
          <w:szCs w:val="20"/>
          <w:lang w:val="es-ES" w:eastAsia="es-ES"/>
        </w:rPr>
      </w:pPr>
    </w:p>
    <w:p w14:paraId="61F37A62" w14:textId="0C09AA42"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73</w:t>
      </w:r>
      <w:r w:rsidRPr="000E0B7B">
        <w:rPr>
          <w:rFonts w:ascii="Verdana" w:hAnsi="Verdana"/>
          <w:sz w:val="20"/>
          <w:szCs w:val="20"/>
        </w:rPr>
        <w:t>.</w:t>
      </w:r>
    </w:p>
    <w:p w14:paraId="54AAF211" w14:textId="7326DD18" w:rsidR="00DC17E7" w:rsidRPr="00653E80" w:rsidRDefault="00DC17E7" w:rsidP="00DC17E7">
      <w:pPr>
        <w:spacing w:after="0" w:line="240" w:lineRule="auto"/>
        <w:contextualSpacing/>
        <w:jc w:val="both"/>
        <w:rPr>
          <w:rFonts w:ascii="Verdana" w:eastAsia="Times New Roman" w:hAnsi="Verdana" w:cs="Arial"/>
          <w:bCs/>
          <w:sz w:val="20"/>
          <w:szCs w:val="20"/>
          <w:lang w:val="es-ES_tradnl" w:eastAsia="es-ES"/>
        </w:rPr>
      </w:pPr>
      <w:r w:rsidRPr="00653E80">
        <w:rPr>
          <w:rFonts w:ascii="Verdana" w:eastAsia="Times New Roman" w:hAnsi="Verdana" w:cs="Arial"/>
          <w:bCs/>
          <w:sz w:val="20"/>
          <w:szCs w:val="20"/>
          <w:lang w:val="es-ES_tradnl" w:eastAsia="es-ES"/>
        </w:rPr>
        <w:t xml:space="preserve">Aquellas </w:t>
      </w:r>
      <w:r w:rsidRPr="00B30C3C">
        <w:rPr>
          <w:rFonts w:ascii="Verdana" w:eastAsia="Times New Roman" w:hAnsi="Verdana" w:cs="Arial"/>
          <w:bCs/>
          <w:sz w:val="20"/>
          <w:szCs w:val="20"/>
          <w:lang w:val="es-ES_tradnl" w:eastAsia="es-ES"/>
        </w:rPr>
        <w:t xml:space="preserve">entidades que por su régimen de inversiones puedan tener participaciones en FIC deberán medir la exposición al riesgo de mercado </w:t>
      </w:r>
      <w:r w:rsidR="00A90FDE">
        <w:rPr>
          <w:rFonts w:ascii="Verdana" w:eastAsia="Times New Roman" w:hAnsi="Verdana" w:cs="Arial"/>
          <w:bCs/>
          <w:sz w:val="20"/>
          <w:szCs w:val="20"/>
          <w:lang w:val="es-ES_tradnl" w:eastAsia="es-ES"/>
        </w:rPr>
        <w:t xml:space="preserve">de </w:t>
      </w:r>
      <w:r w:rsidRPr="00B30C3C">
        <w:rPr>
          <w:rFonts w:ascii="Verdana" w:eastAsia="Times New Roman" w:hAnsi="Verdana" w:cs="Arial"/>
          <w:bCs/>
          <w:sz w:val="20"/>
          <w:szCs w:val="20"/>
          <w:lang w:val="es-ES_tradnl" w:eastAsia="es-ES"/>
        </w:rPr>
        <w:t xml:space="preserve">estas participaciones de acuerdo con lo señalado en </w:t>
      </w:r>
      <w:r w:rsidR="00B30C3C" w:rsidRPr="00B30C3C">
        <w:rPr>
          <w:rFonts w:ascii="Verdana" w:eastAsia="Times New Roman" w:hAnsi="Verdana" w:cs="Arial"/>
          <w:bCs/>
          <w:sz w:val="20"/>
          <w:szCs w:val="20"/>
          <w:lang w:val="es-ES_tradnl" w:eastAsia="es-ES"/>
        </w:rPr>
        <w:t>las siguientes instrucciones:</w:t>
      </w:r>
    </w:p>
    <w:p w14:paraId="3D1568AB" w14:textId="77777777"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p>
    <w:p w14:paraId="795D3093" w14:textId="44C37D5B" w:rsidR="00DC17E7" w:rsidRPr="00C96542" w:rsidRDefault="00DC17E7" w:rsidP="00C96542">
      <w:pPr>
        <w:pStyle w:val="Prrafodelista"/>
        <w:numPr>
          <w:ilvl w:val="0"/>
          <w:numId w:val="39"/>
        </w:numPr>
        <w:spacing w:after="0" w:line="240" w:lineRule="auto"/>
        <w:ind w:left="284" w:hanging="284"/>
        <w:jc w:val="both"/>
        <w:rPr>
          <w:rFonts w:ascii="Verdana" w:eastAsia="Times New Roman" w:hAnsi="Verdana" w:cs="Arial"/>
          <w:b/>
          <w:bCs/>
          <w:sz w:val="20"/>
          <w:szCs w:val="20"/>
          <w:lang w:val="es-ES_tradnl" w:eastAsia="es-ES"/>
        </w:rPr>
      </w:pPr>
      <w:r w:rsidRPr="00C96542">
        <w:rPr>
          <w:rFonts w:ascii="Verdana" w:eastAsia="Times New Roman" w:hAnsi="Verdana" w:cs="Arial"/>
          <w:b/>
          <w:bCs/>
          <w:sz w:val="20"/>
          <w:szCs w:val="20"/>
          <w:lang w:val="es-ES_tradnl" w:eastAsia="es-ES"/>
        </w:rPr>
        <w:t>Factores de riesgo asociados a las inversiones en FIC</w:t>
      </w:r>
    </w:p>
    <w:p w14:paraId="13709970" w14:textId="77777777" w:rsidR="00E76B84" w:rsidRDefault="00E76B84" w:rsidP="0097703B">
      <w:pPr>
        <w:spacing w:after="0" w:line="240" w:lineRule="auto"/>
        <w:jc w:val="both"/>
        <w:rPr>
          <w:rFonts w:ascii="Verdana" w:eastAsia="Times New Roman" w:hAnsi="Verdana" w:cs="Arial"/>
          <w:sz w:val="20"/>
          <w:szCs w:val="20"/>
          <w:lang w:val="es-ES_tradnl" w:eastAsia="es-ES"/>
        </w:rPr>
      </w:pPr>
    </w:p>
    <w:p w14:paraId="7926C61A" w14:textId="283D4F9F"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74</w:t>
      </w:r>
      <w:r w:rsidRPr="000E0B7B">
        <w:rPr>
          <w:rFonts w:ascii="Verdana" w:hAnsi="Verdana"/>
          <w:sz w:val="20"/>
          <w:szCs w:val="20"/>
        </w:rPr>
        <w:t>.</w:t>
      </w:r>
    </w:p>
    <w:p w14:paraId="5F8AC8B5" w14:textId="32BB22C9" w:rsidR="00DC17E7" w:rsidRPr="00653E80" w:rsidRDefault="00DC17E7" w:rsidP="00DC17E7">
      <w:pPr>
        <w:spacing w:after="0" w:line="240" w:lineRule="auto"/>
        <w:contextualSpacing/>
        <w:jc w:val="both"/>
        <w:rPr>
          <w:rFonts w:ascii="Verdana" w:eastAsia="Times New Roman" w:hAnsi="Verdana" w:cs="Arial"/>
          <w:sz w:val="20"/>
          <w:szCs w:val="20"/>
          <w:lang w:val="es-ES_tradnl" w:eastAsia="es-ES"/>
        </w:rPr>
      </w:pPr>
      <w:r w:rsidRPr="00653E80">
        <w:rPr>
          <w:rFonts w:ascii="Verdana" w:eastAsia="Times New Roman" w:hAnsi="Verdana" w:cs="Arial"/>
          <w:sz w:val="20"/>
          <w:szCs w:val="20"/>
          <w:lang w:val="es-ES_tradnl" w:eastAsia="es-ES"/>
        </w:rPr>
        <w:t xml:space="preserve">Las entidades que tengan inversiones en FIC cuyo reglamento estipule que al menos el 60% de su portafolio puede constituirse por acciones o índices accionarios, estarán sujetos al factor de riesgo de precios de acciones </w:t>
      </w:r>
      <w:r w:rsidR="004E7C00">
        <w:rPr>
          <w:rFonts w:ascii="Verdana" w:eastAsia="Times New Roman" w:hAnsi="Verdana" w:cs="Arial"/>
          <w:sz w:val="20"/>
          <w:szCs w:val="20"/>
          <w:lang w:val="es-ES_tradnl" w:eastAsia="es-ES"/>
        </w:rPr>
        <w:t xml:space="preserve">previsto </w:t>
      </w:r>
      <w:r w:rsidR="009004E3">
        <w:rPr>
          <w:rFonts w:ascii="Verdana" w:eastAsia="Times New Roman" w:hAnsi="Verdana" w:cs="Arial"/>
          <w:sz w:val="20"/>
          <w:szCs w:val="20"/>
          <w:lang w:val="es-ES_tradnl" w:eastAsia="es-ES"/>
        </w:rPr>
        <w:t xml:space="preserve">en el párrafo </w:t>
      </w:r>
      <w:r w:rsidR="009004E3" w:rsidRPr="002C7D31">
        <w:rPr>
          <w:rFonts w:ascii="Verdana" w:eastAsia="Times New Roman" w:hAnsi="Verdana" w:cs="Arial"/>
          <w:sz w:val="20"/>
          <w:szCs w:val="20"/>
          <w:lang w:val="es-ES_tradnl" w:eastAsia="es-ES"/>
        </w:rPr>
        <w:t>1.1.A7.</w:t>
      </w:r>
    </w:p>
    <w:p w14:paraId="6A42ABEE" w14:textId="77777777" w:rsidR="00DC17E7" w:rsidRPr="00653E80" w:rsidRDefault="00DC17E7" w:rsidP="00DC17E7">
      <w:pPr>
        <w:tabs>
          <w:tab w:val="num" w:pos="284"/>
        </w:tabs>
        <w:spacing w:after="0" w:line="240" w:lineRule="auto"/>
        <w:ind w:left="284" w:hanging="284"/>
        <w:jc w:val="both"/>
        <w:rPr>
          <w:rFonts w:ascii="Verdana" w:eastAsia="Times New Roman" w:hAnsi="Verdana" w:cs="Arial"/>
          <w:sz w:val="20"/>
          <w:szCs w:val="20"/>
          <w:lang w:val="es-ES_tradnl" w:eastAsia="es-ES"/>
        </w:rPr>
      </w:pPr>
    </w:p>
    <w:p w14:paraId="1ACAC40C" w14:textId="3512B300"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7</w:t>
      </w:r>
      <w:r w:rsidR="008C7681">
        <w:rPr>
          <w:rFonts w:ascii="Verdana" w:hAnsi="Verdana"/>
          <w:sz w:val="20"/>
          <w:szCs w:val="20"/>
        </w:rPr>
        <w:t>5</w:t>
      </w:r>
      <w:r w:rsidRPr="000E0B7B">
        <w:rPr>
          <w:rFonts w:ascii="Verdana" w:hAnsi="Verdana"/>
          <w:sz w:val="20"/>
          <w:szCs w:val="20"/>
        </w:rPr>
        <w:t>.</w:t>
      </w:r>
    </w:p>
    <w:p w14:paraId="6FCFBA20" w14:textId="13793363" w:rsidR="00DC17E7" w:rsidRDefault="00DC17E7" w:rsidP="00DC17E7">
      <w:pPr>
        <w:spacing w:after="0" w:line="240" w:lineRule="auto"/>
        <w:jc w:val="both"/>
        <w:rPr>
          <w:rFonts w:ascii="Verdana" w:eastAsia="Times New Roman" w:hAnsi="Verdana" w:cs="Arial"/>
          <w:sz w:val="20"/>
          <w:szCs w:val="20"/>
          <w:lang w:val="es-ES_tradnl" w:eastAsia="es-ES"/>
        </w:rPr>
      </w:pPr>
      <w:r w:rsidRPr="00653E80">
        <w:rPr>
          <w:rFonts w:ascii="Verdana" w:eastAsia="Times New Roman" w:hAnsi="Verdana" w:cs="Arial"/>
          <w:sz w:val="20"/>
          <w:szCs w:val="20"/>
          <w:lang w:val="es-ES_tradnl" w:eastAsia="es-ES"/>
        </w:rPr>
        <w:t xml:space="preserve">Las entidades que tengan inversiones en FIC </w:t>
      </w:r>
      <w:r w:rsidRPr="0011798D">
        <w:rPr>
          <w:rFonts w:ascii="Verdana" w:eastAsia="Times New Roman" w:hAnsi="Verdana" w:cs="Arial"/>
          <w:sz w:val="20"/>
          <w:szCs w:val="20"/>
          <w:lang w:val="es-ES_tradnl" w:eastAsia="es-ES"/>
        </w:rPr>
        <w:t>diferentes</w:t>
      </w:r>
      <w:r w:rsidR="0011798D" w:rsidRPr="0011798D">
        <w:rPr>
          <w:rFonts w:ascii="Verdana" w:eastAsia="Times New Roman" w:hAnsi="Verdana" w:cs="Arial"/>
          <w:sz w:val="20"/>
          <w:szCs w:val="20"/>
          <w:lang w:val="es-ES_tradnl" w:eastAsia="es-ES"/>
        </w:rPr>
        <w:t xml:space="preserve"> a las señaladas en el párrafo </w:t>
      </w:r>
      <w:r w:rsidR="0011798D" w:rsidRPr="002C7D31">
        <w:rPr>
          <w:rFonts w:ascii="Verdana" w:eastAsia="Times New Roman" w:hAnsi="Verdana" w:cs="Arial"/>
          <w:sz w:val="20"/>
          <w:szCs w:val="20"/>
          <w:lang w:val="es-ES_tradnl" w:eastAsia="es-ES"/>
        </w:rPr>
        <w:t>1.1.A7.</w:t>
      </w:r>
      <w:r w:rsidR="000C686E" w:rsidRPr="002C7D31">
        <w:rPr>
          <w:rFonts w:ascii="Verdana" w:eastAsia="Times New Roman" w:hAnsi="Verdana" w:cs="Arial"/>
          <w:sz w:val="20"/>
          <w:szCs w:val="20"/>
          <w:lang w:val="es-ES_tradnl" w:eastAsia="es-ES"/>
        </w:rPr>
        <w:t>7</w:t>
      </w:r>
      <w:r w:rsidR="002C7D31" w:rsidRPr="00747C09">
        <w:rPr>
          <w:rFonts w:ascii="Verdana" w:eastAsia="Times New Roman" w:hAnsi="Verdana" w:cs="Arial"/>
          <w:sz w:val="20"/>
          <w:szCs w:val="20"/>
          <w:lang w:val="es-ES_tradnl" w:eastAsia="es-ES"/>
        </w:rPr>
        <w:t>3</w:t>
      </w:r>
      <w:r w:rsidR="0011798D" w:rsidRPr="002C7D31">
        <w:rPr>
          <w:rFonts w:ascii="Verdana" w:eastAsia="Times New Roman" w:hAnsi="Verdana" w:cs="Arial"/>
          <w:sz w:val="20"/>
          <w:szCs w:val="20"/>
          <w:lang w:val="es-ES_tradnl" w:eastAsia="es-ES"/>
        </w:rPr>
        <w:t>.</w:t>
      </w:r>
      <w:r w:rsidRPr="002C7D31">
        <w:rPr>
          <w:rFonts w:ascii="Verdana" w:eastAsia="Times New Roman" w:hAnsi="Verdana" w:cs="Arial"/>
          <w:sz w:val="20"/>
          <w:szCs w:val="20"/>
          <w:lang w:val="es-ES_tradnl" w:eastAsia="es-ES"/>
        </w:rPr>
        <w:t>,</w:t>
      </w:r>
      <w:r w:rsidRPr="0011798D">
        <w:rPr>
          <w:rFonts w:ascii="Verdana" w:eastAsia="Times New Roman" w:hAnsi="Verdana" w:cs="Arial"/>
          <w:sz w:val="20"/>
          <w:szCs w:val="20"/>
          <w:lang w:val="es-ES_tradnl" w:eastAsia="es-ES"/>
        </w:rPr>
        <w:t xml:space="preserve"> </w:t>
      </w:r>
      <w:r w:rsidR="007C2177" w:rsidRPr="0011798D">
        <w:rPr>
          <w:rFonts w:ascii="Verdana" w:eastAsia="Times New Roman" w:hAnsi="Verdana" w:cs="Arial"/>
          <w:sz w:val="20"/>
          <w:szCs w:val="20"/>
          <w:lang w:val="es-ES_tradnl" w:eastAsia="es-ES"/>
        </w:rPr>
        <w:t>deben aplicar</w:t>
      </w:r>
      <w:r w:rsidRPr="0011798D">
        <w:rPr>
          <w:rFonts w:ascii="Verdana" w:eastAsia="Times New Roman" w:hAnsi="Verdana" w:cs="Arial"/>
          <w:sz w:val="20"/>
          <w:szCs w:val="20"/>
          <w:lang w:val="es-ES_tradnl" w:eastAsia="es-ES"/>
        </w:rPr>
        <w:t xml:space="preserve"> </w:t>
      </w:r>
      <w:r w:rsidR="0011798D" w:rsidRPr="0011798D">
        <w:rPr>
          <w:rFonts w:ascii="Verdana" w:eastAsia="Times New Roman" w:hAnsi="Verdana" w:cs="Arial"/>
          <w:sz w:val="20"/>
          <w:szCs w:val="20"/>
          <w:lang w:val="es-ES_tradnl" w:eastAsia="es-ES"/>
        </w:rPr>
        <w:t>e</w:t>
      </w:r>
      <w:r w:rsidRPr="0011798D">
        <w:rPr>
          <w:rFonts w:ascii="Verdana" w:eastAsia="Times New Roman" w:hAnsi="Verdana" w:cs="Arial"/>
          <w:sz w:val="20"/>
          <w:szCs w:val="20"/>
          <w:lang w:val="es-ES_tradnl" w:eastAsia="es-ES"/>
        </w:rPr>
        <w:t>l factor de riesgo de FIC.</w:t>
      </w:r>
    </w:p>
    <w:p w14:paraId="0F245F8E" w14:textId="77777777" w:rsidR="00DC17E7" w:rsidRPr="00653E80" w:rsidRDefault="00DC17E7" w:rsidP="00DC17E7">
      <w:pPr>
        <w:spacing w:after="0" w:line="240" w:lineRule="auto"/>
        <w:contextualSpacing/>
        <w:jc w:val="both"/>
        <w:rPr>
          <w:rFonts w:ascii="Verdana" w:eastAsia="Times New Roman" w:hAnsi="Verdana" w:cs="Arial"/>
          <w:sz w:val="20"/>
          <w:szCs w:val="20"/>
          <w:lang w:val="es-ES_tradnl" w:eastAsia="es-ES"/>
        </w:rPr>
      </w:pPr>
    </w:p>
    <w:p w14:paraId="01727CDE" w14:textId="77777777" w:rsidR="00DC17E7" w:rsidRPr="00E76B84" w:rsidRDefault="00DC17E7" w:rsidP="00E76B84">
      <w:pPr>
        <w:pStyle w:val="Prrafodelista"/>
        <w:numPr>
          <w:ilvl w:val="0"/>
          <w:numId w:val="39"/>
        </w:numPr>
        <w:spacing w:after="0" w:line="240" w:lineRule="auto"/>
        <w:ind w:left="426" w:hanging="437"/>
        <w:jc w:val="both"/>
        <w:rPr>
          <w:rFonts w:ascii="Verdana" w:eastAsia="Times New Roman" w:hAnsi="Verdana" w:cs="Arial"/>
          <w:b/>
          <w:bCs/>
          <w:sz w:val="20"/>
          <w:szCs w:val="20"/>
          <w:lang w:val="es-ES_tradnl" w:eastAsia="es-ES"/>
        </w:rPr>
      </w:pPr>
      <w:r w:rsidRPr="00E76B84">
        <w:rPr>
          <w:rFonts w:ascii="Verdana" w:eastAsia="Times New Roman" w:hAnsi="Verdana" w:cs="Arial"/>
          <w:b/>
          <w:bCs/>
          <w:sz w:val="20"/>
          <w:szCs w:val="20"/>
          <w:lang w:val="es-MX" w:eastAsia="es-ES"/>
        </w:rPr>
        <w:t>Cálculo de la exposición neta y sensibilidad al riesgo</w:t>
      </w:r>
    </w:p>
    <w:p w14:paraId="202CFF8E" w14:textId="77777777" w:rsidR="00DC17E7" w:rsidRPr="00653E80" w:rsidRDefault="00DC17E7" w:rsidP="00DC17E7">
      <w:pPr>
        <w:keepNext/>
        <w:spacing w:after="0" w:line="240" w:lineRule="auto"/>
        <w:jc w:val="both"/>
        <w:rPr>
          <w:rFonts w:ascii="Verdana" w:eastAsia="Times New Roman" w:hAnsi="Verdana" w:cs="Arial"/>
          <w:sz w:val="20"/>
          <w:szCs w:val="20"/>
          <w:lang w:val="es-MX" w:eastAsia="es-ES"/>
        </w:rPr>
      </w:pPr>
    </w:p>
    <w:p w14:paraId="7954B92F" w14:textId="296245AC"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76</w:t>
      </w:r>
      <w:r w:rsidRPr="000E0B7B">
        <w:rPr>
          <w:rFonts w:ascii="Verdana" w:hAnsi="Verdana"/>
          <w:sz w:val="20"/>
          <w:szCs w:val="20"/>
        </w:rPr>
        <w:t>.</w:t>
      </w:r>
    </w:p>
    <w:p w14:paraId="42513A2C" w14:textId="5EA64A95" w:rsidR="00DC17E7" w:rsidRPr="00653E80" w:rsidRDefault="00DC17E7" w:rsidP="00DC17E7">
      <w:pPr>
        <w:spacing w:after="0" w:line="240" w:lineRule="auto"/>
        <w:jc w:val="both"/>
        <w:rPr>
          <w:rFonts w:ascii="Verdana" w:eastAsia="Times New Roman" w:hAnsi="Verdana" w:cs="Arial"/>
          <w:sz w:val="20"/>
          <w:szCs w:val="20"/>
          <w:lang w:val="es-ES_tradnl" w:eastAsia="es-ES"/>
        </w:rPr>
      </w:pPr>
      <w:r w:rsidRPr="00653E80">
        <w:rPr>
          <w:rFonts w:ascii="Verdana" w:eastAsia="Times New Roman" w:hAnsi="Verdana" w:cs="Arial"/>
          <w:sz w:val="20"/>
          <w:szCs w:val="20"/>
          <w:lang w:val="es-ES_tradnl" w:eastAsia="es-ES"/>
        </w:rPr>
        <w:t>La exposición neta en participaciones en FIC deberá calcularse de la siguiente forma:</w:t>
      </w:r>
    </w:p>
    <w:p w14:paraId="3980F352" w14:textId="77777777" w:rsidR="00546473" w:rsidRDefault="00546473" w:rsidP="00546473">
      <w:pPr>
        <w:spacing w:after="0" w:line="240" w:lineRule="auto"/>
        <w:ind w:left="567"/>
        <w:jc w:val="both"/>
        <w:rPr>
          <w:rFonts w:ascii="Verdana" w:eastAsia="Times New Roman" w:hAnsi="Verdana" w:cs="Arial"/>
          <w:sz w:val="20"/>
          <w:szCs w:val="20"/>
          <w:lang w:val="es-MX" w:eastAsia="es-ES"/>
        </w:rPr>
      </w:pPr>
    </w:p>
    <w:p w14:paraId="4131700B" w14:textId="5169DED6" w:rsidR="00DC17E7" w:rsidRPr="00653E80" w:rsidRDefault="00DC17E7" w:rsidP="00DC17E7">
      <w:pPr>
        <w:numPr>
          <w:ilvl w:val="0"/>
          <w:numId w:val="30"/>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posición neta de las operaciones </w:t>
      </w:r>
      <w:r w:rsidRPr="00653E80">
        <w:rPr>
          <w:rFonts w:ascii="Verdana" w:eastAsia="Times New Roman" w:hAnsi="Verdana" w:cs="Arial"/>
          <w:i/>
          <w:iCs/>
          <w:sz w:val="20"/>
          <w:szCs w:val="20"/>
          <w:lang w:val="es-MX" w:eastAsia="es-ES"/>
        </w:rPr>
        <w:t>spot</w:t>
      </w:r>
      <w:r w:rsidRPr="00653E80">
        <w:rPr>
          <w:rFonts w:ascii="Verdana" w:eastAsia="Times New Roman" w:hAnsi="Verdana" w:cs="Arial"/>
          <w:sz w:val="20"/>
          <w:szCs w:val="20"/>
          <w:lang w:val="es-MX" w:eastAsia="es-ES"/>
        </w:rPr>
        <w:t xml:space="preserve"> de la entidad, calculada como la diferencia entre las posiciones largas y cortas de participaciones en FIC.</w:t>
      </w:r>
    </w:p>
    <w:p w14:paraId="20A42978" w14:textId="77777777" w:rsidR="00DC17E7" w:rsidRPr="00653E80" w:rsidRDefault="00DC17E7" w:rsidP="00DC17E7">
      <w:pPr>
        <w:spacing w:after="0" w:line="240" w:lineRule="auto"/>
        <w:ind w:left="567" w:hanging="567"/>
        <w:jc w:val="both"/>
        <w:rPr>
          <w:rFonts w:ascii="Verdana" w:eastAsia="Times New Roman" w:hAnsi="Verdana" w:cs="Arial"/>
          <w:sz w:val="20"/>
          <w:szCs w:val="20"/>
          <w:lang w:val="es-MX" w:eastAsia="es-ES"/>
        </w:rPr>
      </w:pPr>
    </w:p>
    <w:p w14:paraId="54D7A168" w14:textId="6596A25D" w:rsidR="00DC17E7" w:rsidRPr="00653E80" w:rsidRDefault="00DC17E7" w:rsidP="00DC17E7">
      <w:pPr>
        <w:numPr>
          <w:ilvl w:val="0"/>
          <w:numId w:val="30"/>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La posición neta de las operaciones </w:t>
      </w:r>
      <w:r w:rsidRPr="00653E80">
        <w:rPr>
          <w:rFonts w:ascii="Verdana" w:eastAsia="Times New Roman" w:hAnsi="Verdana" w:cs="Arial"/>
          <w:i/>
          <w:iCs/>
          <w:sz w:val="20"/>
          <w:szCs w:val="20"/>
          <w:lang w:val="es-MX" w:eastAsia="es-ES"/>
        </w:rPr>
        <w:t xml:space="preserve">forward </w:t>
      </w:r>
      <w:r w:rsidRPr="00653E80">
        <w:rPr>
          <w:rFonts w:ascii="Verdana" w:eastAsia="Times New Roman" w:hAnsi="Verdana" w:cs="Arial"/>
          <w:sz w:val="20"/>
          <w:szCs w:val="20"/>
          <w:lang w:val="es-MX" w:eastAsia="es-ES"/>
        </w:rPr>
        <w:t>de la entidad, calculada como la diferencia entre las posiciones largas en forwards, futuros y operaciones a plazo sobre el subyacente (participación en FIC), y las posiciones cortas en dichos instrumentos.</w:t>
      </w:r>
    </w:p>
    <w:p w14:paraId="6F57F130" w14:textId="77777777" w:rsidR="00DC17E7" w:rsidRPr="00653E80" w:rsidRDefault="00DC17E7" w:rsidP="00DC17E7">
      <w:pPr>
        <w:spacing w:after="0" w:line="240" w:lineRule="auto"/>
        <w:ind w:left="567" w:hanging="567"/>
        <w:jc w:val="both"/>
        <w:rPr>
          <w:rFonts w:ascii="Verdana" w:eastAsia="Times New Roman" w:hAnsi="Verdana" w:cs="Arial"/>
          <w:sz w:val="20"/>
          <w:szCs w:val="20"/>
          <w:lang w:val="es-MX" w:eastAsia="es-ES"/>
        </w:rPr>
      </w:pPr>
    </w:p>
    <w:p w14:paraId="1BCCB98C" w14:textId="5EDFB5D5" w:rsidR="00DC17E7" w:rsidRPr="00653E80" w:rsidRDefault="00DC17E7" w:rsidP="00DC17E7">
      <w:pPr>
        <w:numPr>
          <w:ilvl w:val="0"/>
          <w:numId w:val="30"/>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La posición neta de las operaciones en derivados de la entidad, cuyo subyacente sean participaciones en FIC.</w:t>
      </w:r>
    </w:p>
    <w:p w14:paraId="17F6F41F" w14:textId="77777777" w:rsidR="00DC17E7" w:rsidRPr="00653E80" w:rsidRDefault="00DC17E7" w:rsidP="00DC17E7">
      <w:pPr>
        <w:spacing w:after="0" w:line="240" w:lineRule="auto"/>
        <w:ind w:left="567" w:hanging="567"/>
        <w:jc w:val="both"/>
        <w:rPr>
          <w:rFonts w:ascii="Verdana" w:eastAsia="Times New Roman" w:hAnsi="Verdana" w:cs="Arial"/>
          <w:sz w:val="20"/>
          <w:szCs w:val="20"/>
          <w:lang w:val="es-MX" w:eastAsia="es-ES"/>
        </w:rPr>
      </w:pPr>
    </w:p>
    <w:p w14:paraId="78000EF1" w14:textId="7AD99E8C" w:rsidR="00DC17E7" w:rsidRPr="0011798D" w:rsidRDefault="00DC17E7" w:rsidP="00DC17E7">
      <w:pPr>
        <w:numPr>
          <w:ilvl w:val="0"/>
          <w:numId w:val="30"/>
        </w:numPr>
        <w:tabs>
          <w:tab w:val="clear" w:pos="720"/>
        </w:tabs>
        <w:spacing w:after="0" w:line="240" w:lineRule="auto"/>
        <w:ind w:left="567" w:hanging="567"/>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Adicionalmente, cuando corresponda </w:t>
      </w:r>
      <w:r w:rsidRPr="0011798D">
        <w:rPr>
          <w:rFonts w:ascii="Verdana" w:eastAsia="Times New Roman" w:hAnsi="Verdana" w:cs="Arial"/>
          <w:sz w:val="20"/>
          <w:szCs w:val="20"/>
          <w:lang w:val="es-MX" w:eastAsia="es-ES"/>
        </w:rPr>
        <w:t xml:space="preserve">según lo previsto </w:t>
      </w:r>
      <w:r w:rsidR="0011798D" w:rsidRPr="0011798D">
        <w:rPr>
          <w:rFonts w:ascii="Verdana" w:eastAsia="Times New Roman" w:hAnsi="Verdana" w:cs="Arial"/>
          <w:sz w:val="20"/>
          <w:szCs w:val="20"/>
          <w:lang w:val="es-MX" w:eastAsia="es-ES"/>
        </w:rPr>
        <w:t xml:space="preserve">entre los párrafos </w:t>
      </w:r>
      <w:r w:rsidR="0011798D" w:rsidRPr="003162A4">
        <w:rPr>
          <w:rFonts w:ascii="Verdana" w:eastAsia="Times New Roman" w:hAnsi="Verdana" w:cs="Arial"/>
          <w:sz w:val="20"/>
          <w:szCs w:val="20"/>
          <w:lang w:val="es-MX" w:eastAsia="es-ES"/>
        </w:rPr>
        <w:t>1.1.A7.9</w:t>
      </w:r>
      <w:r w:rsidR="00FE2807" w:rsidRPr="00747C09">
        <w:rPr>
          <w:rFonts w:ascii="Verdana" w:eastAsia="Times New Roman" w:hAnsi="Verdana" w:cs="Arial"/>
          <w:sz w:val="20"/>
          <w:szCs w:val="20"/>
          <w:lang w:val="es-MX" w:eastAsia="es-ES"/>
        </w:rPr>
        <w:t>6</w:t>
      </w:r>
      <w:r w:rsidR="0011798D" w:rsidRPr="003162A4">
        <w:rPr>
          <w:rFonts w:ascii="Verdana" w:eastAsia="Times New Roman" w:hAnsi="Verdana" w:cs="Arial"/>
          <w:sz w:val="20"/>
          <w:szCs w:val="20"/>
          <w:lang w:val="es-MX" w:eastAsia="es-ES"/>
        </w:rPr>
        <w:t>. y 1.1.A7.</w:t>
      </w:r>
      <w:r w:rsidR="00FE2807" w:rsidRPr="003162A4">
        <w:rPr>
          <w:rFonts w:ascii="Verdana" w:eastAsia="Times New Roman" w:hAnsi="Verdana" w:cs="Arial"/>
          <w:sz w:val="20"/>
          <w:szCs w:val="20"/>
          <w:lang w:val="es-MX" w:eastAsia="es-ES"/>
        </w:rPr>
        <w:t>9</w:t>
      </w:r>
      <w:r w:rsidR="00FE2807">
        <w:rPr>
          <w:rFonts w:ascii="Verdana" w:eastAsia="Times New Roman" w:hAnsi="Verdana" w:cs="Arial"/>
          <w:sz w:val="20"/>
          <w:szCs w:val="20"/>
          <w:lang w:val="es-MX" w:eastAsia="es-ES"/>
        </w:rPr>
        <w:t>1</w:t>
      </w:r>
      <w:r w:rsidR="0011798D" w:rsidRPr="0011798D">
        <w:rPr>
          <w:rFonts w:ascii="Verdana" w:eastAsia="Times New Roman" w:hAnsi="Verdana" w:cs="Arial"/>
          <w:sz w:val="20"/>
          <w:szCs w:val="20"/>
          <w:lang w:val="es-MX" w:eastAsia="es-ES"/>
        </w:rPr>
        <w:t>.</w:t>
      </w:r>
      <w:r w:rsidRPr="0011798D">
        <w:rPr>
          <w:rFonts w:ascii="Verdana" w:eastAsia="Times New Roman" w:hAnsi="Verdana" w:cs="Arial"/>
          <w:sz w:val="20"/>
          <w:szCs w:val="20"/>
          <w:lang w:val="es-MX" w:eastAsia="es-ES"/>
        </w:rPr>
        <w:t xml:space="preserve"> las posiciones delta ponderadas de opciones sobre participaciones en FIC. </w:t>
      </w:r>
    </w:p>
    <w:p w14:paraId="354A30E8"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7A4309C5" w14:textId="68B9A7F7"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77</w:t>
      </w:r>
      <w:r w:rsidRPr="000E0B7B">
        <w:rPr>
          <w:rFonts w:ascii="Verdana" w:hAnsi="Verdana"/>
          <w:sz w:val="20"/>
          <w:szCs w:val="20"/>
        </w:rPr>
        <w:t>.</w:t>
      </w:r>
    </w:p>
    <w:p w14:paraId="74C78E84" w14:textId="1D3926C2"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Entonces el valor en riesgo para estos factores de riesgo se calculará de la siguiente forma:</w:t>
      </w:r>
    </w:p>
    <w:p w14:paraId="4AFEECF7" w14:textId="51B23A6A" w:rsidR="00DC17E7" w:rsidRPr="00653E80" w:rsidRDefault="00D556B2" w:rsidP="00DC17E7">
      <w:pPr>
        <w:spacing w:after="0" w:line="240" w:lineRule="auto"/>
        <w:jc w:val="both"/>
        <w:rPr>
          <w:rFonts w:ascii="Verdana" w:eastAsia="Times New Roman" w:hAnsi="Verdana" w:cs="Arial"/>
          <w:sz w:val="20"/>
          <w:szCs w:val="20"/>
          <w:lang w:val="es-MX" w:eastAsia="es-ES"/>
        </w:rPr>
      </w:pPr>
      <m:oMathPara>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EN</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*(2,33*</m:t>
          </m:r>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r>
            <w:rPr>
              <w:rFonts w:ascii="Cambria Math" w:eastAsia="Times New Roman" w:hAnsi="Cambria Math" w:cs="Arial"/>
              <w:sz w:val="20"/>
              <w:szCs w:val="20"/>
              <w:lang w:val="es-MX" w:eastAsia="es-ES"/>
            </w:rPr>
            <m:t>)</m:t>
          </m:r>
        </m:oMath>
      </m:oMathPara>
    </w:p>
    <w:p w14:paraId="30D5AA48"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0FF24AE0"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Donde:</w:t>
      </w:r>
    </w:p>
    <w:p w14:paraId="5D2F2820"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752328AA" w14:textId="285980CD"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m:t>
            </m:r>
          </m:sub>
        </m:sSub>
      </m:oMath>
      <w:r w:rsidR="00546473">
        <w:rPr>
          <w:rFonts w:ascii="Verdana" w:eastAsia="Times New Roman" w:hAnsi="Verdana" w:cs="Arial"/>
          <w:bCs/>
          <w:sz w:val="20"/>
          <w:szCs w:val="20"/>
          <w:lang w:val="es-MX" w:eastAsia="es-ES"/>
        </w:rPr>
        <w:t>:</w:t>
      </w:r>
      <w:r w:rsidR="00546473" w:rsidRPr="00653E80">
        <w:rPr>
          <w:rFonts w:ascii="Verdana" w:eastAsia="Times New Roman" w:hAnsi="Verdana" w:cs="Arial"/>
          <w:sz w:val="20"/>
          <w:szCs w:val="20"/>
          <w:lang w:val="es-MX" w:eastAsia="es-ES"/>
        </w:rPr>
        <w:t xml:space="preserve"> </w:t>
      </w:r>
      <w:r w:rsidR="00546473">
        <w:rPr>
          <w:rFonts w:ascii="Verdana" w:eastAsia="Times New Roman" w:hAnsi="Verdana" w:cs="Arial"/>
          <w:sz w:val="20"/>
          <w:szCs w:val="20"/>
          <w:lang w:val="es-MX" w:eastAsia="es-ES"/>
        </w:rPr>
        <w:t>es el v</w:t>
      </w:r>
      <w:r w:rsidR="00546473" w:rsidRPr="00653E80">
        <w:rPr>
          <w:rFonts w:ascii="Verdana" w:eastAsia="Times New Roman" w:hAnsi="Verdana" w:cs="Arial"/>
          <w:sz w:val="20"/>
          <w:szCs w:val="20"/>
          <w:lang w:val="es-MX" w:eastAsia="es-ES"/>
        </w:rPr>
        <w:t xml:space="preserve">alor </w:t>
      </w:r>
      <w:r w:rsidR="00DC17E7" w:rsidRPr="00653E80">
        <w:rPr>
          <w:rFonts w:ascii="Verdana" w:eastAsia="Times New Roman" w:hAnsi="Verdana" w:cs="Arial"/>
          <w:sz w:val="20"/>
          <w:szCs w:val="20"/>
          <w:lang w:val="es-MX" w:eastAsia="es-ES"/>
        </w:rPr>
        <w:t xml:space="preserve">en riesgo por variación en el factor de riesgo i, i = </w:t>
      </w:r>
      <w:r w:rsidR="00DC17E7" w:rsidRPr="00705A58">
        <w:rPr>
          <w:rFonts w:ascii="Verdana" w:eastAsia="Times New Roman" w:hAnsi="Verdana" w:cs="Arial"/>
          <w:sz w:val="20"/>
          <w:szCs w:val="20"/>
          <w:lang w:val="es-MX" w:eastAsia="es-ES"/>
        </w:rPr>
        <w:t>(</w:t>
      </w:r>
      <w:r w:rsidR="008F40D7" w:rsidRPr="00FE2807">
        <w:rPr>
          <w:rFonts w:ascii="Verdana" w:eastAsia="Times New Roman" w:hAnsi="Verdana" w:cs="Arial"/>
          <w:sz w:val="20"/>
          <w:szCs w:val="20"/>
          <w:lang w:val="es-MX" w:eastAsia="es-ES"/>
        </w:rPr>
        <w:t>párrafos 1.1.</w:t>
      </w:r>
      <w:r w:rsidR="00705A58" w:rsidRPr="00FE2807">
        <w:rPr>
          <w:rFonts w:ascii="Verdana" w:eastAsia="Times New Roman" w:hAnsi="Verdana" w:cs="Arial"/>
          <w:sz w:val="20"/>
          <w:szCs w:val="20"/>
          <w:lang w:val="es-MX" w:eastAsia="es-ES"/>
        </w:rPr>
        <w:t>A7.</w:t>
      </w:r>
      <w:r w:rsidR="00FE2807" w:rsidRPr="00747C09">
        <w:rPr>
          <w:rFonts w:ascii="Verdana" w:eastAsia="Times New Roman" w:hAnsi="Verdana" w:cs="Arial"/>
          <w:sz w:val="20"/>
          <w:szCs w:val="20"/>
          <w:lang w:val="es-MX" w:eastAsia="es-ES"/>
        </w:rPr>
        <w:t>69</w:t>
      </w:r>
      <w:r w:rsidR="00705A58" w:rsidRPr="00FE2807">
        <w:rPr>
          <w:rFonts w:ascii="Verdana" w:eastAsia="Times New Roman" w:hAnsi="Verdana" w:cs="Arial"/>
          <w:sz w:val="20"/>
          <w:szCs w:val="20"/>
          <w:lang w:val="es-MX" w:eastAsia="es-ES"/>
        </w:rPr>
        <w:t>. y 1.1.A7.7</w:t>
      </w:r>
      <w:r w:rsidR="00FE2807" w:rsidRPr="00747C09">
        <w:rPr>
          <w:rFonts w:ascii="Verdana" w:eastAsia="Times New Roman" w:hAnsi="Verdana" w:cs="Arial"/>
          <w:sz w:val="20"/>
          <w:szCs w:val="20"/>
          <w:lang w:val="es-MX" w:eastAsia="es-ES"/>
        </w:rPr>
        <w:t>0</w:t>
      </w:r>
      <w:r w:rsidR="00705A58" w:rsidRPr="00705A58">
        <w:rPr>
          <w:rFonts w:ascii="Verdana" w:eastAsia="Times New Roman" w:hAnsi="Verdana" w:cs="Arial"/>
          <w:sz w:val="20"/>
          <w:szCs w:val="20"/>
          <w:lang w:val="es-MX" w:eastAsia="es-ES"/>
        </w:rPr>
        <w:t>.)</w:t>
      </w:r>
    </w:p>
    <w:p w14:paraId="36885B99" w14:textId="77777777" w:rsidR="00546473" w:rsidRDefault="00546473" w:rsidP="00DC17E7">
      <w:pPr>
        <w:spacing w:after="0" w:line="240" w:lineRule="auto"/>
        <w:jc w:val="both"/>
        <w:rPr>
          <w:rFonts w:ascii="Verdana" w:eastAsia="Times New Roman" w:hAnsi="Verdana" w:cs="Arial"/>
          <w:bCs/>
          <w:sz w:val="20"/>
          <w:szCs w:val="20"/>
          <w:lang w:val="es-MX" w:eastAsia="es-ES"/>
        </w:rPr>
      </w:pPr>
    </w:p>
    <w:p w14:paraId="60DC082D" w14:textId="5111E4EE"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EN</m:t>
            </m:r>
          </m:e>
          <m:sub>
            <m:r>
              <w:rPr>
                <w:rFonts w:ascii="Cambria Math" w:eastAsia="Times New Roman" w:hAnsi="Cambria Math" w:cs="Arial"/>
                <w:sz w:val="20"/>
                <w:szCs w:val="20"/>
                <w:lang w:val="es-MX" w:eastAsia="es-ES"/>
              </w:rPr>
              <m:t>i</m:t>
            </m:r>
          </m:sub>
        </m:sSub>
      </m:oMath>
      <w:r w:rsidR="00546473">
        <w:rPr>
          <w:rFonts w:ascii="Verdana" w:eastAsia="Times New Roman" w:hAnsi="Verdana" w:cs="Arial"/>
          <w:bCs/>
          <w:sz w:val="20"/>
          <w:szCs w:val="20"/>
          <w:lang w:val="es-MX" w:eastAsia="es-ES"/>
        </w:rPr>
        <w:t xml:space="preserve">: es el </w:t>
      </w:r>
      <w:r w:rsidR="00546473" w:rsidRPr="00653E80">
        <w:rPr>
          <w:rFonts w:ascii="Verdana" w:eastAsia="Times New Roman" w:hAnsi="Verdana" w:cs="Arial"/>
          <w:sz w:val="20"/>
          <w:szCs w:val="20"/>
          <w:lang w:val="es-MX" w:eastAsia="es-ES"/>
        </w:rPr>
        <w:t xml:space="preserve">valor </w:t>
      </w:r>
      <w:r w:rsidR="00DC17E7" w:rsidRPr="00653E80">
        <w:rPr>
          <w:rFonts w:ascii="Verdana" w:eastAsia="Times New Roman" w:hAnsi="Verdana" w:cs="Arial"/>
          <w:sz w:val="20"/>
          <w:szCs w:val="20"/>
          <w:lang w:val="es-MX" w:eastAsia="es-ES"/>
        </w:rPr>
        <w:t>absoluto de la exposición neta de posiciones atadas al factor de riesgo i.</w:t>
      </w:r>
    </w:p>
    <w:p w14:paraId="5F3835F7" w14:textId="77777777" w:rsidR="00546473" w:rsidRPr="00546473" w:rsidRDefault="00546473" w:rsidP="00DC17E7">
      <w:pPr>
        <w:spacing w:after="0" w:line="240" w:lineRule="auto"/>
        <w:jc w:val="both"/>
        <w:rPr>
          <w:rFonts w:ascii="Verdana" w:eastAsia="Times New Roman" w:hAnsi="Verdana" w:cs="Arial"/>
          <w:bCs/>
          <w:sz w:val="20"/>
          <w:szCs w:val="20"/>
          <w:lang w:val="es-MX" w:eastAsia="es-ES"/>
        </w:rPr>
      </w:pPr>
    </w:p>
    <w:p w14:paraId="7432A174" w14:textId="053BB916" w:rsidR="00DC17E7" w:rsidRPr="00653E80" w:rsidRDefault="00D556B2" w:rsidP="00DC17E7">
      <w:pPr>
        <w:spacing w:after="0" w:line="240" w:lineRule="auto"/>
        <w:jc w:val="both"/>
        <w:rPr>
          <w:rFonts w:ascii="Verdana" w:eastAsia="Times New Roman" w:hAnsi="Verdana" w:cs="Arial"/>
          <w:sz w:val="20"/>
          <w:szCs w:val="20"/>
          <w:lang w:val="es-MX" w:eastAsia="es-ES"/>
        </w:rPr>
      </w:pPr>
      <m:oMath>
        <m:sSub>
          <m:sSubPr>
            <m:ctrlPr>
              <w:rPr>
                <w:rFonts w:ascii="Cambria Math" w:eastAsia="Times New Roman" w:hAnsi="Cambria Math" w:cs="Arial"/>
                <w:bCs/>
                <w:i/>
                <w:sz w:val="20"/>
                <w:szCs w:val="20"/>
                <w:lang w:val="es-MX" w:eastAsia="es-ES"/>
              </w:rPr>
            </m:ctrlPr>
          </m:sSubPr>
          <m:e>
            <m:r>
              <w:rPr>
                <w:rFonts w:ascii="Cambria Math" w:eastAsia="Times New Roman" w:hAnsi="Cambria Math" w:cs="Arial"/>
                <w:sz w:val="20"/>
                <w:szCs w:val="20"/>
                <w:lang w:val="es-MX" w:eastAsia="es-ES"/>
              </w:rPr>
              <m:t>σ</m:t>
            </m:r>
          </m:e>
          <m:sub>
            <m:r>
              <w:rPr>
                <w:rFonts w:ascii="Cambria Math" w:eastAsia="Times New Roman" w:hAnsi="Cambria Math" w:cs="Arial"/>
                <w:sz w:val="20"/>
                <w:szCs w:val="20"/>
                <w:lang w:val="es-MX" w:eastAsia="es-ES"/>
              </w:rPr>
              <m:t>i</m:t>
            </m:r>
          </m:sub>
        </m:sSub>
      </m:oMath>
      <w:r w:rsidR="00546473" w:rsidRPr="00653E80">
        <w:rPr>
          <w:rFonts w:ascii="Verdana" w:eastAsia="Times New Roman" w:hAnsi="Verdana" w:cs="Arial"/>
          <w:sz w:val="20"/>
          <w:szCs w:val="20"/>
          <w:lang w:val="es-MX" w:eastAsia="es-ES"/>
        </w:rPr>
        <w:t xml:space="preserve">: </w:t>
      </w:r>
      <w:r w:rsidR="00546473">
        <w:rPr>
          <w:rFonts w:ascii="Verdana" w:eastAsia="Times New Roman" w:hAnsi="Verdana" w:cs="Arial"/>
          <w:sz w:val="20"/>
          <w:szCs w:val="20"/>
          <w:lang w:val="es-MX" w:eastAsia="es-ES"/>
        </w:rPr>
        <w:t>es la v</w:t>
      </w:r>
      <w:r w:rsidR="00546473" w:rsidRPr="00653E80">
        <w:rPr>
          <w:rFonts w:ascii="Verdana" w:eastAsia="Times New Roman" w:hAnsi="Verdana" w:cs="Arial"/>
          <w:sz w:val="20"/>
          <w:szCs w:val="20"/>
          <w:lang w:val="es-MX" w:eastAsia="es-ES"/>
        </w:rPr>
        <w:t xml:space="preserve">olatilidad </w:t>
      </w:r>
      <w:r w:rsidR="00DC17E7" w:rsidRPr="00653E80">
        <w:rPr>
          <w:rFonts w:ascii="Verdana" w:eastAsia="Times New Roman" w:hAnsi="Verdana" w:cs="Arial"/>
          <w:sz w:val="20"/>
          <w:szCs w:val="20"/>
          <w:lang w:val="es-MX" w:eastAsia="es-ES"/>
        </w:rPr>
        <w:t>asociada al factor de riesgo i.</w:t>
      </w:r>
    </w:p>
    <w:p w14:paraId="5568C9B0"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300E4A2B" w14:textId="77777777"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r w:rsidRPr="00653E80">
        <w:rPr>
          <w:rFonts w:ascii="Verdana" w:eastAsia="Times New Roman" w:hAnsi="Verdana" w:cs="Arial"/>
          <w:b/>
          <w:sz w:val="20"/>
          <w:szCs w:val="20"/>
          <w:lang w:val="es-ES" w:eastAsia="es-ES"/>
        </w:rPr>
        <w:t>Agregación de los valores en riesgo</w:t>
      </w:r>
    </w:p>
    <w:p w14:paraId="2F40164F" w14:textId="77777777" w:rsidR="00DC17E7" w:rsidRDefault="00DC17E7" w:rsidP="00DC17E7">
      <w:pPr>
        <w:spacing w:after="0" w:line="240" w:lineRule="auto"/>
        <w:jc w:val="both"/>
        <w:rPr>
          <w:rFonts w:ascii="Verdana" w:eastAsia="Times New Roman" w:hAnsi="Verdana" w:cs="Arial"/>
          <w:snapToGrid w:val="0"/>
          <w:sz w:val="20"/>
          <w:szCs w:val="20"/>
          <w:lang w:val="es-MX" w:eastAsia="es-ES"/>
        </w:rPr>
      </w:pPr>
    </w:p>
    <w:p w14:paraId="48A4A180" w14:textId="7F54BC10"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852731">
        <w:rPr>
          <w:rFonts w:ascii="Verdana" w:hAnsi="Verdana"/>
          <w:sz w:val="20"/>
          <w:szCs w:val="20"/>
        </w:rPr>
        <w:t>7</w:t>
      </w:r>
      <w:r w:rsidR="002744E7">
        <w:rPr>
          <w:rFonts w:ascii="Verdana" w:hAnsi="Verdana"/>
          <w:sz w:val="20"/>
          <w:szCs w:val="20"/>
        </w:rPr>
        <w:t>8</w:t>
      </w:r>
      <w:r w:rsidRPr="000E0B7B">
        <w:rPr>
          <w:rFonts w:ascii="Verdana" w:hAnsi="Verdana"/>
          <w:sz w:val="20"/>
          <w:szCs w:val="20"/>
        </w:rPr>
        <w:t>.</w:t>
      </w:r>
    </w:p>
    <w:p w14:paraId="6ED48C4E" w14:textId="2E972FBA" w:rsidR="00DC17E7" w:rsidRPr="00653E80" w:rsidRDefault="00DC17E7" w:rsidP="28FD8008">
      <w:pPr>
        <w:spacing w:after="0" w:line="240" w:lineRule="auto"/>
        <w:jc w:val="both"/>
        <w:rPr>
          <w:rFonts w:ascii="Verdana" w:eastAsia="Times New Roman" w:hAnsi="Verdana" w:cs="Arial"/>
          <w:sz w:val="20"/>
          <w:szCs w:val="20"/>
          <w:lang w:val="es-ES" w:eastAsia="es-ES"/>
        </w:rPr>
      </w:pPr>
      <w:r w:rsidRPr="28FD8008">
        <w:rPr>
          <w:rFonts w:ascii="Verdana" w:eastAsia="Times New Roman" w:hAnsi="Verdana" w:cs="Arial"/>
          <w:sz w:val="20"/>
          <w:szCs w:val="20"/>
          <w:lang w:val="es-ES" w:eastAsia="es-ES"/>
        </w:rPr>
        <w:t>El modelo establecido por la SFC para la medición del riesgo de mercado es un modelo de factores. En este tipo de modelos, en el caso en que el comportamiento de cada factor de riesgo no dependa del comportamiento de los demás factores de riesgo (</w:t>
      </w:r>
      <w:proofErr w:type="gramStart"/>
      <w:r w:rsidRPr="28FD8008">
        <w:rPr>
          <w:rFonts w:ascii="Verdana" w:eastAsia="Times New Roman" w:hAnsi="Verdana" w:cs="Arial"/>
          <w:sz w:val="20"/>
          <w:szCs w:val="20"/>
          <w:lang w:val="es-ES" w:eastAsia="es-ES"/>
        </w:rPr>
        <w:t>cero correlación</w:t>
      </w:r>
      <w:proofErr w:type="gramEnd"/>
      <w:r w:rsidRPr="28FD8008">
        <w:rPr>
          <w:rFonts w:ascii="Verdana" w:eastAsia="Times New Roman" w:hAnsi="Verdana" w:cs="Arial"/>
          <w:sz w:val="20"/>
          <w:szCs w:val="20"/>
          <w:lang w:val="es-ES" w:eastAsia="es-ES"/>
        </w:rPr>
        <w:t xml:space="preserve">), los valores en riesgo elevados al cuadrado para cada factor se pueden sumar aritméticamente, y, por lo tanto, el valor en riesgo corresponderá a la raíz cuadrada de esta suma. En caso contrario, y específicamente en este modelo, es necesario agregar los valores en riesgo de cada factor a través de la metodología que se describe </w:t>
      </w:r>
      <w:r w:rsidR="00377843" w:rsidRPr="28FD8008">
        <w:rPr>
          <w:rFonts w:ascii="Verdana" w:eastAsia="Times New Roman" w:hAnsi="Verdana" w:cs="Arial"/>
          <w:sz w:val="20"/>
          <w:szCs w:val="20"/>
          <w:lang w:val="es-ES" w:eastAsia="es-ES"/>
        </w:rPr>
        <w:t xml:space="preserve">entre los párrafos </w:t>
      </w:r>
      <w:r w:rsidR="00377843" w:rsidRPr="00FE2807">
        <w:rPr>
          <w:rFonts w:ascii="Verdana" w:eastAsia="Times New Roman" w:hAnsi="Verdana" w:cs="Arial"/>
          <w:sz w:val="20"/>
          <w:szCs w:val="20"/>
          <w:lang w:val="es-ES" w:eastAsia="es-ES"/>
        </w:rPr>
        <w:t>1.1.A7.</w:t>
      </w:r>
      <w:r w:rsidR="00FE2807" w:rsidRPr="00FE2807">
        <w:rPr>
          <w:rFonts w:ascii="Verdana" w:eastAsia="Times New Roman" w:hAnsi="Verdana" w:cs="Arial"/>
          <w:sz w:val="20"/>
          <w:szCs w:val="20"/>
          <w:lang w:val="es-ES" w:eastAsia="es-ES"/>
        </w:rPr>
        <w:t>7</w:t>
      </w:r>
      <w:r w:rsidR="00FE2807" w:rsidRPr="00747C09">
        <w:rPr>
          <w:rFonts w:ascii="Verdana" w:eastAsia="Times New Roman" w:hAnsi="Verdana" w:cs="Arial"/>
          <w:sz w:val="20"/>
          <w:szCs w:val="20"/>
          <w:lang w:val="es-ES" w:eastAsia="es-ES"/>
        </w:rPr>
        <w:t>8</w:t>
      </w:r>
      <w:r w:rsidR="00377843" w:rsidRPr="00FE2807">
        <w:rPr>
          <w:rFonts w:ascii="Verdana" w:eastAsia="Times New Roman" w:hAnsi="Verdana" w:cs="Arial"/>
          <w:sz w:val="20"/>
          <w:szCs w:val="20"/>
          <w:lang w:val="es-ES" w:eastAsia="es-ES"/>
        </w:rPr>
        <w:t>. y 1.1.A7.</w:t>
      </w:r>
      <w:r w:rsidR="00CC6CDA" w:rsidRPr="00FE2807">
        <w:rPr>
          <w:rFonts w:ascii="Verdana" w:eastAsia="Times New Roman" w:hAnsi="Verdana" w:cs="Arial"/>
          <w:sz w:val="20"/>
          <w:szCs w:val="20"/>
          <w:lang w:val="es-ES" w:eastAsia="es-ES"/>
        </w:rPr>
        <w:t>8</w:t>
      </w:r>
      <w:r w:rsidR="00FE2807" w:rsidRPr="00747C09">
        <w:rPr>
          <w:rFonts w:ascii="Verdana" w:eastAsia="Times New Roman" w:hAnsi="Verdana" w:cs="Arial"/>
          <w:sz w:val="20"/>
          <w:szCs w:val="20"/>
          <w:lang w:val="es-ES" w:eastAsia="es-ES"/>
        </w:rPr>
        <w:t>5</w:t>
      </w:r>
      <w:r w:rsidRPr="28FD8008">
        <w:rPr>
          <w:rFonts w:ascii="Verdana" w:eastAsia="Times New Roman" w:hAnsi="Verdana" w:cs="Arial"/>
          <w:sz w:val="20"/>
          <w:szCs w:val="20"/>
          <w:lang w:val="es-ES" w:eastAsia="es-ES"/>
        </w:rPr>
        <w:t xml:space="preserve">. Para este efecto la </w:t>
      </w:r>
      <w:r w:rsidR="00377843" w:rsidRPr="28FD8008">
        <w:rPr>
          <w:rFonts w:ascii="Verdana" w:eastAsia="Times New Roman" w:hAnsi="Verdana" w:cs="Arial"/>
          <w:sz w:val="20"/>
          <w:szCs w:val="20"/>
          <w:lang w:val="es-ES" w:eastAsia="es-ES"/>
        </w:rPr>
        <w:t>t</w:t>
      </w:r>
      <w:r w:rsidRPr="28FD8008">
        <w:rPr>
          <w:rFonts w:ascii="Verdana" w:eastAsia="Times New Roman" w:hAnsi="Verdana" w:cs="Arial"/>
          <w:sz w:val="20"/>
          <w:szCs w:val="20"/>
          <w:lang w:val="es-ES" w:eastAsia="es-ES"/>
        </w:rPr>
        <w:t>abla 5 resume los diferentes factores de riesgo.</w:t>
      </w:r>
    </w:p>
    <w:p w14:paraId="6B17803F"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7F9FF116" w14:textId="6F04E091"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2744E7">
        <w:rPr>
          <w:rFonts w:ascii="Verdana" w:hAnsi="Verdana"/>
          <w:sz w:val="20"/>
          <w:szCs w:val="20"/>
        </w:rPr>
        <w:t>79</w:t>
      </w:r>
      <w:r w:rsidRPr="000E0B7B">
        <w:rPr>
          <w:rFonts w:ascii="Verdana" w:hAnsi="Verdana"/>
          <w:sz w:val="20"/>
          <w:szCs w:val="20"/>
        </w:rPr>
        <w:t>.</w:t>
      </w:r>
    </w:p>
    <w:p w14:paraId="35F0D11A" w14:textId="0D80E5FD" w:rsidR="00DC17E7" w:rsidRPr="00653E80" w:rsidRDefault="00DC17E7" w:rsidP="28FD8008">
      <w:pPr>
        <w:spacing w:after="0" w:line="240" w:lineRule="auto"/>
        <w:jc w:val="both"/>
        <w:rPr>
          <w:rFonts w:ascii="Verdana" w:eastAsia="Times New Roman" w:hAnsi="Verdana" w:cs="Arial"/>
          <w:sz w:val="20"/>
          <w:szCs w:val="20"/>
          <w:lang w:val="es-ES" w:eastAsia="es-ES"/>
        </w:rPr>
      </w:pPr>
      <w:r w:rsidRPr="28FD8008">
        <w:rPr>
          <w:rFonts w:ascii="Verdana" w:eastAsia="Times New Roman" w:hAnsi="Verdana" w:cs="Arial"/>
          <w:sz w:val="20"/>
          <w:szCs w:val="20"/>
          <w:lang w:val="es-ES" w:eastAsia="es-ES"/>
        </w:rPr>
        <w:t xml:space="preserve">El método de agregación consiste en sumar los </w:t>
      </w:r>
      <w:r w:rsidR="00377843" w:rsidRPr="28FD8008">
        <w:rPr>
          <w:rFonts w:ascii="Verdana" w:eastAsia="Times New Roman" w:hAnsi="Verdana" w:cs="Arial"/>
          <w:sz w:val="20"/>
          <w:szCs w:val="20"/>
          <w:lang w:val="es-ES" w:eastAsia="es-ES"/>
        </w:rPr>
        <w:t>v</w:t>
      </w:r>
      <w:r w:rsidRPr="28FD8008">
        <w:rPr>
          <w:rFonts w:ascii="Verdana" w:eastAsia="Times New Roman" w:hAnsi="Verdana" w:cs="Arial"/>
          <w:sz w:val="20"/>
          <w:szCs w:val="20"/>
          <w:lang w:val="es-ES" w:eastAsia="es-ES"/>
        </w:rPr>
        <w:t xml:space="preserve">alores en </w:t>
      </w:r>
      <w:r w:rsidR="00377843" w:rsidRPr="28FD8008">
        <w:rPr>
          <w:rFonts w:ascii="Verdana" w:eastAsia="Times New Roman" w:hAnsi="Verdana" w:cs="Arial"/>
          <w:sz w:val="20"/>
          <w:szCs w:val="20"/>
          <w:lang w:val="es-ES" w:eastAsia="es-ES"/>
        </w:rPr>
        <w:t>r</w:t>
      </w:r>
      <w:r w:rsidRPr="28FD8008">
        <w:rPr>
          <w:rFonts w:ascii="Verdana" w:eastAsia="Times New Roman" w:hAnsi="Verdana" w:cs="Arial"/>
          <w:sz w:val="20"/>
          <w:szCs w:val="20"/>
          <w:lang w:val="es-ES" w:eastAsia="es-ES"/>
        </w:rPr>
        <w:t xml:space="preserve">iesgo originados por cada uno de los factores de riesgo teniendo en cuenta la correlación que existe entre estos. Para ello, a continuación, se explica el procedimiento a seguir para la agregación del </w:t>
      </w:r>
      <w:proofErr w:type="spellStart"/>
      <w:r w:rsidRPr="28FD8008">
        <w:rPr>
          <w:rFonts w:ascii="Verdana" w:eastAsia="Times New Roman" w:hAnsi="Verdana" w:cs="Arial"/>
          <w:sz w:val="20"/>
          <w:szCs w:val="20"/>
          <w:lang w:val="es-ES" w:eastAsia="es-ES"/>
        </w:rPr>
        <w:t>VeR</w:t>
      </w:r>
      <w:proofErr w:type="spellEnd"/>
      <w:r w:rsidRPr="28FD8008">
        <w:rPr>
          <w:rFonts w:ascii="Verdana" w:eastAsia="Times New Roman" w:hAnsi="Verdana" w:cs="Arial"/>
          <w:sz w:val="20"/>
          <w:szCs w:val="20"/>
          <w:lang w:val="es-ES" w:eastAsia="es-ES"/>
        </w:rPr>
        <w:t xml:space="preserve"> de cada factor de riesgo, la obtención de las correlaciones entre los factores de riesgo y la suma de los valores en riesgo teniendo en cuenta dichas correlaciones.</w:t>
      </w:r>
    </w:p>
    <w:p w14:paraId="7292B2E0"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00E532D1" w14:textId="41BE83AE"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80</w:t>
      </w:r>
      <w:r w:rsidRPr="000E0B7B">
        <w:rPr>
          <w:rFonts w:ascii="Verdana" w:hAnsi="Verdana"/>
          <w:sz w:val="20"/>
          <w:szCs w:val="20"/>
        </w:rPr>
        <w:t>.</w:t>
      </w:r>
    </w:p>
    <w:p w14:paraId="73DB1DB7"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r w:rsidRPr="00653E80">
        <w:rPr>
          <w:rFonts w:ascii="Verdana" w:eastAsia="Times New Roman" w:hAnsi="Verdana" w:cs="Arial"/>
          <w:sz w:val="20"/>
          <w:szCs w:val="20"/>
          <w:lang w:val="es-ES_tradnl" w:eastAsia="es-ES"/>
        </w:rPr>
        <w:t>En general, el método de agregación se puede resumir en 2 pasos:</w:t>
      </w:r>
    </w:p>
    <w:p w14:paraId="380FF29D"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56DB3D16" w14:textId="77777777" w:rsidR="00DC17E7" w:rsidRPr="00111CC2" w:rsidRDefault="00DC17E7" w:rsidP="28FD8008">
      <w:pPr>
        <w:pStyle w:val="Prrafodelista"/>
        <w:numPr>
          <w:ilvl w:val="1"/>
          <w:numId w:val="31"/>
        </w:numPr>
        <w:spacing w:after="0" w:line="240" w:lineRule="auto"/>
        <w:ind w:left="567" w:hanging="567"/>
        <w:jc w:val="both"/>
        <w:rPr>
          <w:rFonts w:ascii="Verdana" w:eastAsia="Times New Roman" w:hAnsi="Verdana" w:cs="Arial"/>
          <w:sz w:val="20"/>
          <w:szCs w:val="20"/>
          <w:lang w:val="es-ES" w:eastAsia="es-ES"/>
        </w:rPr>
      </w:pPr>
      <w:r w:rsidRPr="28FD8008">
        <w:rPr>
          <w:rFonts w:ascii="Verdana" w:eastAsia="Times New Roman" w:hAnsi="Verdana" w:cs="Arial"/>
          <w:sz w:val="20"/>
          <w:szCs w:val="20"/>
          <w:lang w:val="es-ES" w:eastAsia="es-ES"/>
        </w:rPr>
        <w:t xml:space="preserve">Suma aritmética de los </w:t>
      </w:r>
      <w:proofErr w:type="spellStart"/>
      <w:r w:rsidRPr="28FD8008">
        <w:rPr>
          <w:rFonts w:ascii="Verdana" w:eastAsia="Times New Roman" w:hAnsi="Verdana" w:cs="Arial"/>
          <w:sz w:val="20"/>
          <w:szCs w:val="20"/>
          <w:lang w:val="es-ES" w:eastAsia="es-ES"/>
        </w:rPr>
        <w:t>VeR</w:t>
      </w:r>
      <w:proofErr w:type="spellEnd"/>
      <w:r w:rsidRPr="28FD8008">
        <w:rPr>
          <w:rFonts w:ascii="Verdana" w:eastAsia="Times New Roman" w:hAnsi="Verdana" w:cs="Arial"/>
          <w:sz w:val="20"/>
          <w:szCs w:val="20"/>
          <w:lang w:val="es-ES" w:eastAsia="es-ES"/>
        </w:rPr>
        <w:t xml:space="preserve"> que se originen por un mismo factor de riesgo.</w:t>
      </w:r>
    </w:p>
    <w:p w14:paraId="603AFFAA" w14:textId="77777777" w:rsidR="000A43C1" w:rsidRDefault="000A43C1" w:rsidP="000A43C1">
      <w:pPr>
        <w:pStyle w:val="Prrafodelista"/>
        <w:spacing w:after="0" w:line="240" w:lineRule="auto"/>
        <w:ind w:left="567"/>
        <w:jc w:val="both"/>
        <w:rPr>
          <w:rFonts w:ascii="Verdana" w:eastAsia="Times New Roman" w:hAnsi="Verdana" w:cs="Arial"/>
          <w:sz w:val="20"/>
          <w:szCs w:val="20"/>
          <w:lang w:val="es-ES_tradnl" w:eastAsia="es-ES"/>
        </w:rPr>
      </w:pPr>
    </w:p>
    <w:p w14:paraId="48FBBD4A" w14:textId="153AD4B0" w:rsidR="00097164" w:rsidRPr="00CC6CDA" w:rsidRDefault="00DC17E7" w:rsidP="001576FB">
      <w:pPr>
        <w:pStyle w:val="Prrafodelista"/>
        <w:numPr>
          <w:ilvl w:val="1"/>
          <w:numId w:val="31"/>
        </w:numPr>
        <w:spacing w:after="0" w:line="240" w:lineRule="auto"/>
        <w:ind w:left="567" w:hanging="567"/>
        <w:jc w:val="both"/>
        <w:rPr>
          <w:rFonts w:ascii="Verdana" w:eastAsia="Times New Roman" w:hAnsi="Verdana" w:cs="Arial"/>
          <w:sz w:val="20"/>
          <w:szCs w:val="20"/>
          <w:lang w:val="es-ES" w:eastAsia="es-ES"/>
        </w:rPr>
      </w:pPr>
      <w:r w:rsidRPr="00097164">
        <w:rPr>
          <w:rFonts w:ascii="Verdana" w:eastAsia="Times New Roman" w:hAnsi="Verdana" w:cs="Arial"/>
          <w:sz w:val="20"/>
          <w:szCs w:val="20"/>
          <w:lang w:val="es-ES_tradnl" w:eastAsia="es-ES"/>
        </w:rPr>
        <w:t xml:space="preserve">Agregación de los </w:t>
      </w:r>
      <w:proofErr w:type="spellStart"/>
      <w:r w:rsidRPr="00097164">
        <w:rPr>
          <w:rFonts w:ascii="Verdana" w:eastAsia="Times New Roman" w:hAnsi="Verdana" w:cs="Arial"/>
          <w:sz w:val="20"/>
          <w:szCs w:val="20"/>
          <w:lang w:val="es-ES_tradnl" w:eastAsia="es-ES"/>
        </w:rPr>
        <w:t>VeR</w:t>
      </w:r>
      <w:proofErr w:type="spellEnd"/>
      <w:r w:rsidRPr="00097164">
        <w:rPr>
          <w:rFonts w:ascii="Verdana" w:eastAsia="Times New Roman" w:hAnsi="Verdana" w:cs="Arial"/>
          <w:sz w:val="20"/>
          <w:szCs w:val="20"/>
          <w:lang w:val="es-ES_tradnl" w:eastAsia="es-ES"/>
        </w:rPr>
        <w:t xml:space="preserve"> de diferentes factores de riesgo haciendo uso de la matriz de correlaciones.</w:t>
      </w:r>
    </w:p>
    <w:p w14:paraId="01F7F9DB" w14:textId="77777777" w:rsidR="00097164" w:rsidRDefault="00097164" w:rsidP="00097164">
      <w:pPr>
        <w:pStyle w:val="Prrafodelista"/>
        <w:spacing w:after="0" w:line="240" w:lineRule="auto"/>
        <w:ind w:left="567"/>
        <w:jc w:val="both"/>
        <w:rPr>
          <w:rFonts w:ascii="Verdana" w:eastAsia="Times New Roman" w:hAnsi="Verdana" w:cs="Arial"/>
          <w:sz w:val="20"/>
          <w:szCs w:val="20"/>
          <w:lang w:val="es-ES" w:eastAsia="es-ES"/>
        </w:rPr>
      </w:pPr>
    </w:p>
    <w:p w14:paraId="564643AF" w14:textId="77777777" w:rsidR="00B52737" w:rsidRDefault="00B52737" w:rsidP="00097164">
      <w:pPr>
        <w:pStyle w:val="Prrafodelista"/>
        <w:spacing w:after="0" w:line="240" w:lineRule="auto"/>
        <w:ind w:left="567"/>
        <w:jc w:val="both"/>
        <w:rPr>
          <w:rFonts w:ascii="Verdana" w:eastAsia="Times New Roman" w:hAnsi="Verdana" w:cs="Arial"/>
          <w:sz w:val="20"/>
          <w:szCs w:val="20"/>
          <w:lang w:val="es-ES" w:eastAsia="es-ES"/>
        </w:rPr>
      </w:pPr>
    </w:p>
    <w:p w14:paraId="3052C6DA" w14:textId="77777777" w:rsidR="00B52737" w:rsidRPr="00097164" w:rsidRDefault="00B52737" w:rsidP="00097164">
      <w:pPr>
        <w:pStyle w:val="Prrafodelista"/>
        <w:spacing w:after="0" w:line="240" w:lineRule="auto"/>
        <w:ind w:left="567"/>
        <w:jc w:val="both"/>
        <w:rPr>
          <w:rFonts w:ascii="Verdana" w:eastAsia="Times New Roman" w:hAnsi="Verdana" w:cs="Arial"/>
          <w:sz w:val="20"/>
          <w:szCs w:val="20"/>
          <w:lang w:val="es-ES" w:eastAsia="es-ES"/>
        </w:rPr>
      </w:pPr>
    </w:p>
    <w:p w14:paraId="4CE1C3AD" w14:textId="77777777" w:rsidR="00DC17E7" w:rsidRPr="00653E80" w:rsidRDefault="00DC17E7" w:rsidP="00DC17E7">
      <w:pPr>
        <w:spacing w:after="0" w:line="240" w:lineRule="auto"/>
        <w:jc w:val="center"/>
        <w:rPr>
          <w:rFonts w:ascii="Verdana" w:eastAsia="Times New Roman" w:hAnsi="Verdana" w:cs="Arial"/>
          <w:b/>
          <w:bCs/>
          <w:sz w:val="20"/>
          <w:szCs w:val="20"/>
          <w:lang w:val="es-ES_tradnl" w:eastAsia="es-ES"/>
        </w:rPr>
      </w:pPr>
      <w:r w:rsidRPr="00653E80">
        <w:rPr>
          <w:rFonts w:ascii="Verdana" w:eastAsia="Times New Roman" w:hAnsi="Verdana" w:cs="Arial"/>
          <w:b/>
          <w:bCs/>
          <w:sz w:val="20"/>
          <w:szCs w:val="20"/>
          <w:lang w:val="es-ES_tradnl" w:eastAsia="es-ES"/>
        </w:rPr>
        <w:t>Tabla 5</w:t>
      </w:r>
    </w:p>
    <w:tbl>
      <w:tblPr>
        <w:tblW w:w="7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1"/>
        <w:gridCol w:w="1783"/>
        <w:gridCol w:w="3518"/>
      </w:tblGrid>
      <w:tr w:rsidR="00DC17E7" w:rsidRPr="00653E80" w14:paraId="02C427EF" w14:textId="77777777" w:rsidTr="00AD5148">
        <w:trPr>
          <w:trHeight w:val="255"/>
          <w:tblHeader/>
          <w:jc w:val="center"/>
        </w:trPr>
        <w:tc>
          <w:tcPr>
            <w:tcW w:w="2181" w:type="dxa"/>
            <w:shd w:val="clear" w:color="auto" w:fill="D1D1D1" w:themeFill="background2" w:themeFillShade="E6"/>
            <w:noWrap/>
            <w:vAlign w:val="bottom"/>
          </w:tcPr>
          <w:p w14:paraId="0C1CAF99" w14:textId="77777777" w:rsidR="00DC17E7" w:rsidRPr="00574D64"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574D64">
              <w:rPr>
                <w:rFonts w:ascii="Verdana" w:eastAsia="Times New Roman" w:hAnsi="Verdana" w:cs="Arial"/>
                <w:b/>
                <w:bCs/>
                <w:color w:val="000000"/>
                <w:kern w:val="0"/>
                <w:sz w:val="16"/>
                <w:szCs w:val="16"/>
                <w:lang w:eastAsia="es-CO"/>
                <w14:ligatures w14:val="none"/>
              </w:rPr>
              <w:t>Riesgo</w:t>
            </w:r>
          </w:p>
        </w:tc>
        <w:tc>
          <w:tcPr>
            <w:tcW w:w="5301" w:type="dxa"/>
            <w:gridSpan w:val="2"/>
            <w:shd w:val="clear" w:color="auto" w:fill="D1D1D1" w:themeFill="background2" w:themeFillShade="E6"/>
            <w:noWrap/>
            <w:vAlign w:val="bottom"/>
          </w:tcPr>
          <w:p w14:paraId="43893BB3" w14:textId="77777777" w:rsidR="00DC17E7" w:rsidRPr="00574D64" w:rsidRDefault="00DC17E7" w:rsidP="00F130A5">
            <w:pPr>
              <w:spacing w:after="0" w:line="240" w:lineRule="auto"/>
              <w:jc w:val="center"/>
              <w:rPr>
                <w:rFonts w:ascii="Verdana" w:eastAsia="Times New Roman" w:hAnsi="Verdana" w:cs="Arial"/>
                <w:b/>
                <w:bCs/>
                <w:color w:val="000000"/>
                <w:kern w:val="0"/>
                <w:sz w:val="16"/>
                <w:szCs w:val="16"/>
                <w:lang w:eastAsia="es-CO"/>
                <w14:ligatures w14:val="none"/>
              </w:rPr>
            </w:pPr>
            <w:r w:rsidRPr="00574D64">
              <w:rPr>
                <w:rFonts w:ascii="Verdana" w:eastAsia="Times New Roman" w:hAnsi="Verdana" w:cs="Arial"/>
                <w:b/>
                <w:bCs/>
                <w:color w:val="000000"/>
                <w:kern w:val="0"/>
                <w:sz w:val="16"/>
                <w:szCs w:val="16"/>
                <w:lang w:eastAsia="es-CO"/>
                <w14:ligatures w14:val="none"/>
              </w:rPr>
              <w:t>Factor</w:t>
            </w:r>
          </w:p>
        </w:tc>
      </w:tr>
      <w:tr w:rsidR="00DC17E7" w:rsidRPr="00653E80" w14:paraId="32FF4BA5" w14:textId="77777777" w:rsidTr="00AD5148">
        <w:trPr>
          <w:trHeight w:val="255"/>
          <w:jc w:val="center"/>
        </w:trPr>
        <w:tc>
          <w:tcPr>
            <w:tcW w:w="2181" w:type="dxa"/>
            <w:vMerge w:val="restart"/>
            <w:vAlign w:val="center"/>
          </w:tcPr>
          <w:p w14:paraId="3A3CB080"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Tasa de Interés</w:t>
            </w:r>
          </w:p>
        </w:tc>
        <w:tc>
          <w:tcPr>
            <w:tcW w:w="1783" w:type="dxa"/>
            <w:vMerge w:val="restart"/>
            <w:vAlign w:val="center"/>
          </w:tcPr>
          <w:p w14:paraId="454BEC94"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Curva Cero Cupón Pesos</w:t>
            </w:r>
          </w:p>
        </w:tc>
        <w:tc>
          <w:tcPr>
            <w:tcW w:w="3518" w:type="dxa"/>
            <w:noWrap/>
            <w:vAlign w:val="bottom"/>
          </w:tcPr>
          <w:p w14:paraId="0CBFBE97"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 Componente Principal 1</w:t>
            </w:r>
          </w:p>
        </w:tc>
      </w:tr>
      <w:tr w:rsidR="00DC17E7" w:rsidRPr="00653E80" w14:paraId="5A205CC5" w14:textId="77777777" w:rsidTr="00AD5148">
        <w:trPr>
          <w:trHeight w:val="255"/>
          <w:jc w:val="center"/>
        </w:trPr>
        <w:tc>
          <w:tcPr>
            <w:tcW w:w="2181" w:type="dxa"/>
            <w:vMerge/>
            <w:vAlign w:val="center"/>
          </w:tcPr>
          <w:p w14:paraId="0705D9E7"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ign w:val="center"/>
          </w:tcPr>
          <w:p w14:paraId="0685280C"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noWrap/>
            <w:vAlign w:val="bottom"/>
          </w:tcPr>
          <w:p w14:paraId="3D5DFF85"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2. Componente Principal 2</w:t>
            </w:r>
          </w:p>
        </w:tc>
      </w:tr>
      <w:tr w:rsidR="00DC17E7" w:rsidRPr="00653E80" w14:paraId="00475B83" w14:textId="77777777" w:rsidTr="00AD5148">
        <w:trPr>
          <w:trHeight w:val="255"/>
          <w:jc w:val="center"/>
        </w:trPr>
        <w:tc>
          <w:tcPr>
            <w:tcW w:w="2181" w:type="dxa"/>
            <w:vMerge/>
            <w:vAlign w:val="center"/>
          </w:tcPr>
          <w:p w14:paraId="2693C809"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ign w:val="center"/>
          </w:tcPr>
          <w:p w14:paraId="0E6DCC47"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noWrap/>
            <w:vAlign w:val="bottom"/>
          </w:tcPr>
          <w:p w14:paraId="25426C74"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3. Componente Principal 3</w:t>
            </w:r>
          </w:p>
        </w:tc>
      </w:tr>
      <w:tr w:rsidR="00DC17E7" w:rsidRPr="00653E80" w14:paraId="4C3B7691" w14:textId="77777777" w:rsidTr="00AD5148">
        <w:trPr>
          <w:trHeight w:val="255"/>
          <w:jc w:val="center"/>
        </w:trPr>
        <w:tc>
          <w:tcPr>
            <w:tcW w:w="2181" w:type="dxa"/>
            <w:vMerge/>
            <w:vAlign w:val="center"/>
          </w:tcPr>
          <w:p w14:paraId="4C8E5B00"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restart"/>
            <w:vAlign w:val="center"/>
          </w:tcPr>
          <w:p w14:paraId="0C45E180"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Curva Cero Cupón UVR</w:t>
            </w:r>
          </w:p>
        </w:tc>
        <w:tc>
          <w:tcPr>
            <w:tcW w:w="3518" w:type="dxa"/>
            <w:noWrap/>
            <w:vAlign w:val="bottom"/>
          </w:tcPr>
          <w:p w14:paraId="6FE8ACD6"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4. Componente Principal 1</w:t>
            </w:r>
          </w:p>
        </w:tc>
      </w:tr>
      <w:tr w:rsidR="00DC17E7" w:rsidRPr="00653E80" w14:paraId="29956459" w14:textId="77777777" w:rsidTr="00AD5148">
        <w:trPr>
          <w:trHeight w:val="255"/>
          <w:jc w:val="center"/>
        </w:trPr>
        <w:tc>
          <w:tcPr>
            <w:tcW w:w="2181" w:type="dxa"/>
            <w:vMerge/>
            <w:vAlign w:val="center"/>
          </w:tcPr>
          <w:p w14:paraId="20407703"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ign w:val="center"/>
          </w:tcPr>
          <w:p w14:paraId="64227BDD"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noWrap/>
            <w:vAlign w:val="bottom"/>
          </w:tcPr>
          <w:p w14:paraId="19F6BBF5"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5. Componente Principal 2</w:t>
            </w:r>
          </w:p>
        </w:tc>
      </w:tr>
      <w:tr w:rsidR="00DC17E7" w:rsidRPr="00653E80" w14:paraId="603CD59E" w14:textId="77777777" w:rsidTr="00AD5148">
        <w:trPr>
          <w:trHeight w:val="255"/>
          <w:jc w:val="center"/>
        </w:trPr>
        <w:tc>
          <w:tcPr>
            <w:tcW w:w="2181" w:type="dxa"/>
            <w:vMerge/>
            <w:vAlign w:val="center"/>
          </w:tcPr>
          <w:p w14:paraId="6337629A"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ign w:val="center"/>
          </w:tcPr>
          <w:p w14:paraId="5ECE9798"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noWrap/>
            <w:vAlign w:val="bottom"/>
          </w:tcPr>
          <w:p w14:paraId="369A8068"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6. Componente Principal 3</w:t>
            </w:r>
          </w:p>
        </w:tc>
      </w:tr>
      <w:tr w:rsidR="00DC17E7" w:rsidRPr="00653E80" w14:paraId="65D8FB77" w14:textId="77777777" w:rsidTr="00AD5148">
        <w:trPr>
          <w:trHeight w:val="255"/>
          <w:jc w:val="center"/>
        </w:trPr>
        <w:tc>
          <w:tcPr>
            <w:tcW w:w="2181" w:type="dxa"/>
            <w:vMerge/>
            <w:vAlign w:val="center"/>
          </w:tcPr>
          <w:p w14:paraId="18DC0550"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restart"/>
            <w:vAlign w:val="center"/>
          </w:tcPr>
          <w:p w14:paraId="4BC48BA7"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 xml:space="preserve">Curva </w:t>
            </w:r>
            <w:proofErr w:type="gramStart"/>
            <w:r w:rsidRPr="0029327D">
              <w:rPr>
                <w:rFonts w:ascii="Verdana" w:eastAsia="Times New Roman" w:hAnsi="Verdana" w:cs="Arial"/>
                <w:color w:val="000000"/>
                <w:kern w:val="0"/>
                <w:sz w:val="16"/>
                <w:szCs w:val="16"/>
                <w:lang w:eastAsia="es-CO"/>
                <w14:ligatures w14:val="none"/>
              </w:rPr>
              <w:t>Cero cupón</w:t>
            </w:r>
            <w:proofErr w:type="gramEnd"/>
            <w:r w:rsidRPr="0029327D">
              <w:rPr>
                <w:rFonts w:ascii="Verdana" w:eastAsia="Times New Roman" w:hAnsi="Verdana" w:cs="Arial"/>
                <w:color w:val="000000"/>
                <w:kern w:val="0"/>
                <w:sz w:val="16"/>
                <w:szCs w:val="16"/>
                <w:lang w:eastAsia="es-CO"/>
                <w14:ligatures w14:val="none"/>
              </w:rPr>
              <w:t xml:space="preserve"> Tesoros</w:t>
            </w:r>
          </w:p>
        </w:tc>
        <w:tc>
          <w:tcPr>
            <w:tcW w:w="3518" w:type="dxa"/>
            <w:noWrap/>
            <w:vAlign w:val="bottom"/>
          </w:tcPr>
          <w:p w14:paraId="4E2E6B58"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7. Componente Principal 1</w:t>
            </w:r>
          </w:p>
        </w:tc>
      </w:tr>
      <w:tr w:rsidR="00DC17E7" w:rsidRPr="00653E80" w14:paraId="67E723A6" w14:textId="77777777" w:rsidTr="00AD5148">
        <w:trPr>
          <w:trHeight w:val="255"/>
          <w:jc w:val="center"/>
        </w:trPr>
        <w:tc>
          <w:tcPr>
            <w:tcW w:w="2181" w:type="dxa"/>
            <w:vMerge/>
            <w:vAlign w:val="center"/>
          </w:tcPr>
          <w:p w14:paraId="5033DEAB"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ign w:val="center"/>
          </w:tcPr>
          <w:p w14:paraId="70F2292C"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noWrap/>
            <w:vAlign w:val="bottom"/>
          </w:tcPr>
          <w:p w14:paraId="15228223"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8. Componente Principal 2</w:t>
            </w:r>
          </w:p>
        </w:tc>
      </w:tr>
      <w:tr w:rsidR="00DC17E7" w:rsidRPr="00653E80" w14:paraId="39D731A3" w14:textId="77777777" w:rsidTr="00AD5148">
        <w:trPr>
          <w:trHeight w:val="255"/>
          <w:jc w:val="center"/>
        </w:trPr>
        <w:tc>
          <w:tcPr>
            <w:tcW w:w="2181" w:type="dxa"/>
            <w:vMerge/>
            <w:vAlign w:val="center"/>
          </w:tcPr>
          <w:p w14:paraId="294F7438"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ign w:val="center"/>
          </w:tcPr>
          <w:p w14:paraId="682A44CF"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noWrap/>
            <w:vAlign w:val="bottom"/>
          </w:tcPr>
          <w:p w14:paraId="389EA971"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9. Componente Principal 3</w:t>
            </w:r>
          </w:p>
        </w:tc>
      </w:tr>
      <w:tr w:rsidR="00DC17E7" w:rsidRPr="00653E80" w14:paraId="4661924A" w14:textId="77777777" w:rsidTr="00AD5148">
        <w:trPr>
          <w:trHeight w:val="255"/>
          <w:jc w:val="center"/>
        </w:trPr>
        <w:tc>
          <w:tcPr>
            <w:tcW w:w="2181" w:type="dxa"/>
            <w:vMerge/>
            <w:vAlign w:val="center"/>
          </w:tcPr>
          <w:p w14:paraId="0F980F09"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restart"/>
            <w:vAlign w:val="center"/>
          </w:tcPr>
          <w:p w14:paraId="5785976C"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DTF</w:t>
            </w:r>
          </w:p>
        </w:tc>
        <w:tc>
          <w:tcPr>
            <w:tcW w:w="3518" w:type="dxa"/>
            <w:noWrap/>
            <w:vAlign w:val="bottom"/>
          </w:tcPr>
          <w:p w14:paraId="3B0EEB31"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10. Corto Plazo</w:t>
            </w:r>
          </w:p>
        </w:tc>
      </w:tr>
      <w:tr w:rsidR="00DC17E7" w:rsidRPr="00653E80" w14:paraId="2F7FE2B5" w14:textId="77777777" w:rsidTr="00AD5148">
        <w:trPr>
          <w:trHeight w:val="255"/>
          <w:jc w:val="center"/>
        </w:trPr>
        <w:tc>
          <w:tcPr>
            <w:tcW w:w="2181" w:type="dxa"/>
            <w:vMerge/>
            <w:vAlign w:val="center"/>
          </w:tcPr>
          <w:p w14:paraId="2835F268"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ign w:val="center"/>
          </w:tcPr>
          <w:p w14:paraId="38A14B3C"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noWrap/>
            <w:vAlign w:val="bottom"/>
          </w:tcPr>
          <w:p w14:paraId="1ED01344"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11.Largo Plazo</w:t>
            </w:r>
          </w:p>
        </w:tc>
      </w:tr>
      <w:tr w:rsidR="00DC17E7" w:rsidRPr="00653E80" w14:paraId="4070DB1E" w14:textId="77777777" w:rsidTr="00AD5148">
        <w:trPr>
          <w:trHeight w:val="255"/>
          <w:jc w:val="center"/>
        </w:trPr>
        <w:tc>
          <w:tcPr>
            <w:tcW w:w="2181" w:type="dxa"/>
            <w:vMerge/>
            <w:vAlign w:val="center"/>
          </w:tcPr>
          <w:p w14:paraId="58290CC6"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val="restart"/>
            <w:noWrap/>
            <w:vAlign w:val="center"/>
          </w:tcPr>
          <w:p w14:paraId="39DBEBA9"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IBR</w:t>
            </w:r>
          </w:p>
        </w:tc>
        <w:tc>
          <w:tcPr>
            <w:tcW w:w="3518" w:type="dxa"/>
            <w:vAlign w:val="bottom"/>
          </w:tcPr>
          <w:p w14:paraId="44EC832B"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12. Corto plazo</w:t>
            </w:r>
          </w:p>
        </w:tc>
      </w:tr>
      <w:tr w:rsidR="00DC17E7" w:rsidRPr="00653E80" w14:paraId="37C838DF" w14:textId="77777777" w:rsidTr="00AD5148">
        <w:trPr>
          <w:trHeight w:val="255"/>
          <w:jc w:val="center"/>
        </w:trPr>
        <w:tc>
          <w:tcPr>
            <w:tcW w:w="2181" w:type="dxa"/>
            <w:vMerge/>
            <w:vAlign w:val="center"/>
          </w:tcPr>
          <w:p w14:paraId="4492E737"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1783" w:type="dxa"/>
            <w:vMerge/>
            <w:noWrap/>
            <w:vAlign w:val="bottom"/>
          </w:tcPr>
          <w:p w14:paraId="52BCF03D"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3518" w:type="dxa"/>
            <w:vAlign w:val="bottom"/>
          </w:tcPr>
          <w:p w14:paraId="35592409"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13. Largo plazo</w:t>
            </w:r>
          </w:p>
        </w:tc>
      </w:tr>
      <w:tr w:rsidR="00DC17E7" w:rsidRPr="00653E80" w14:paraId="5E14F89F" w14:textId="77777777" w:rsidTr="00AD5148">
        <w:trPr>
          <w:trHeight w:val="255"/>
          <w:jc w:val="center"/>
        </w:trPr>
        <w:tc>
          <w:tcPr>
            <w:tcW w:w="2181" w:type="dxa"/>
            <w:vMerge/>
            <w:vAlign w:val="center"/>
          </w:tcPr>
          <w:p w14:paraId="173AA76B"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5301" w:type="dxa"/>
            <w:gridSpan w:val="2"/>
            <w:noWrap/>
            <w:vAlign w:val="bottom"/>
          </w:tcPr>
          <w:p w14:paraId="403576A2"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14. IPC</w:t>
            </w:r>
          </w:p>
        </w:tc>
      </w:tr>
      <w:tr w:rsidR="00DC17E7" w:rsidRPr="00653E80" w14:paraId="404E1CA2" w14:textId="77777777" w:rsidTr="00AD5148">
        <w:trPr>
          <w:trHeight w:val="255"/>
          <w:jc w:val="center"/>
        </w:trPr>
        <w:tc>
          <w:tcPr>
            <w:tcW w:w="2181" w:type="dxa"/>
            <w:vMerge w:val="restart"/>
            <w:vAlign w:val="center"/>
          </w:tcPr>
          <w:p w14:paraId="6592C872"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Tasa de Cambio</w:t>
            </w:r>
          </w:p>
        </w:tc>
        <w:tc>
          <w:tcPr>
            <w:tcW w:w="5301" w:type="dxa"/>
            <w:gridSpan w:val="2"/>
            <w:noWrap/>
            <w:vAlign w:val="bottom"/>
          </w:tcPr>
          <w:p w14:paraId="4B20B1B4"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15. TRM</w:t>
            </w:r>
          </w:p>
        </w:tc>
      </w:tr>
      <w:tr w:rsidR="00DC17E7" w:rsidRPr="00653E80" w14:paraId="5733EB05" w14:textId="77777777" w:rsidTr="00AD5148">
        <w:trPr>
          <w:trHeight w:val="255"/>
          <w:jc w:val="center"/>
        </w:trPr>
        <w:tc>
          <w:tcPr>
            <w:tcW w:w="2181" w:type="dxa"/>
            <w:vMerge/>
            <w:vAlign w:val="center"/>
          </w:tcPr>
          <w:p w14:paraId="0FAD4F51"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5301" w:type="dxa"/>
            <w:gridSpan w:val="2"/>
            <w:noWrap/>
            <w:vAlign w:val="bottom"/>
          </w:tcPr>
          <w:p w14:paraId="06C88F73"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16.  Euro / Pesos</w:t>
            </w:r>
          </w:p>
        </w:tc>
      </w:tr>
      <w:tr w:rsidR="00DC17E7" w:rsidRPr="00653E80" w14:paraId="1C6716BF" w14:textId="77777777" w:rsidTr="00AD5148">
        <w:trPr>
          <w:trHeight w:val="255"/>
          <w:jc w:val="center"/>
        </w:trPr>
        <w:tc>
          <w:tcPr>
            <w:tcW w:w="2181" w:type="dxa"/>
            <w:vMerge w:val="restart"/>
            <w:vAlign w:val="center"/>
          </w:tcPr>
          <w:p w14:paraId="7DCBFA27"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Precio de Acciones</w:t>
            </w:r>
          </w:p>
        </w:tc>
        <w:tc>
          <w:tcPr>
            <w:tcW w:w="5301" w:type="dxa"/>
            <w:gridSpan w:val="2"/>
            <w:noWrap/>
            <w:vAlign w:val="bottom"/>
          </w:tcPr>
          <w:p w14:paraId="1548941F"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17.  Acciones Colombia</w:t>
            </w:r>
          </w:p>
        </w:tc>
      </w:tr>
      <w:tr w:rsidR="00DC17E7" w:rsidRPr="00653E80" w14:paraId="76926311" w14:textId="77777777" w:rsidTr="00AD5148">
        <w:trPr>
          <w:trHeight w:val="255"/>
          <w:jc w:val="center"/>
        </w:trPr>
        <w:tc>
          <w:tcPr>
            <w:tcW w:w="2181" w:type="dxa"/>
            <w:vMerge/>
            <w:vAlign w:val="center"/>
          </w:tcPr>
          <w:p w14:paraId="39E05AAE"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p>
        </w:tc>
        <w:tc>
          <w:tcPr>
            <w:tcW w:w="5301" w:type="dxa"/>
            <w:gridSpan w:val="2"/>
            <w:noWrap/>
            <w:vAlign w:val="bottom"/>
          </w:tcPr>
          <w:p w14:paraId="6F038F03"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18.  Acciones Global</w:t>
            </w:r>
          </w:p>
        </w:tc>
      </w:tr>
      <w:tr w:rsidR="00DC17E7" w:rsidRPr="00653E80" w14:paraId="4CF63A37" w14:textId="77777777" w:rsidTr="00AD5148">
        <w:trPr>
          <w:trHeight w:val="915"/>
          <w:jc w:val="center"/>
        </w:trPr>
        <w:tc>
          <w:tcPr>
            <w:tcW w:w="2181" w:type="dxa"/>
            <w:vAlign w:val="center"/>
          </w:tcPr>
          <w:p w14:paraId="68EF827A"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Participación en Fondos de Inversión Colectiva</w:t>
            </w:r>
          </w:p>
        </w:tc>
        <w:tc>
          <w:tcPr>
            <w:tcW w:w="5301" w:type="dxa"/>
            <w:gridSpan w:val="2"/>
            <w:vAlign w:val="center"/>
          </w:tcPr>
          <w:p w14:paraId="476D7389"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19.   Fondos de Inversión Colectiva</w:t>
            </w:r>
          </w:p>
        </w:tc>
      </w:tr>
      <w:tr w:rsidR="00DC17E7" w:rsidRPr="00653E80" w14:paraId="7657864B" w14:textId="77777777" w:rsidTr="00AD5148">
        <w:trPr>
          <w:trHeight w:val="915"/>
          <w:jc w:val="center"/>
        </w:trPr>
        <w:tc>
          <w:tcPr>
            <w:tcW w:w="2181" w:type="dxa"/>
            <w:vAlign w:val="center"/>
          </w:tcPr>
          <w:p w14:paraId="1D243BF4"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Derivados de Crédito</w:t>
            </w:r>
          </w:p>
        </w:tc>
        <w:tc>
          <w:tcPr>
            <w:tcW w:w="5301" w:type="dxa"/>
            <w:gridSpan w:val="2"/>
            <w:vAlign w:val="center"/>
          </w:tcPr>
          <w:p w14:paraId="121CCFAB" w14:textId="77777777" w:rsidR="00DC17E7" w:rsidRPr="0029327D" w:rsidRDefault="00DC17E7" w:rsidP="0029327D">
            <w:pPr>
              <w:spacing w:after="0" w:line="240" w:lineRule="auto"/>
              <w:jc w:val="center"/>
              <w:rPr>
                <w:rFonts w:ascii="Verdana" w:eastAsia="Times New Roman" w:hAnsi="Verdana" w:cs="Arial"/>
                <w:color w:val="000000"/>
                <w:kern w:val="0"/>
                <w:sz w:val="16"/>
                <w:szCs w:val="16"/>
                <w:lang w:eastAsia="es-CO"/>
                <w14:ligatures w14:val="none"/>
              </w:rPr>
            </w:pPr>
            <w:r w:rsidRPr="0029327D">
              <w:rPr>
                <w:rFonts w:ascii="Verdana" w:eastAsia="Times New Roman" w:hAnsi="Verdana" w:cs="Arial"/>
                <w:color w:val="000000"/>
                <w:kern w:val="0"/>
                <w:sz w:val="16"/>
                <w:szCs w:val="16"/>
                <w:lang w:eastAsia="es-CO"/>
                <w14:ligatures w14:val="none"/>
              </w:rPr>
              <w:t>20. Derivados de Crédito</w:t>
            </w:r>
          </w:p>
        </w:tc>
      </w:tr>
    </w:tbl>
    <w:p w14:paraId="16C7EDC6" w14:textId="77777777" w:rsidR="00DC17E7" w:rsidRPr="00653E80" w:rsidRDefault="00DC17E7" w:rsidP="00DC17E7">
      <w:pPr>
        <w:spacing w:after="0" w:line="240" w:lineRule="auto"/>
        <w:jc w:val="both"/>
        <w:rPr>
          <w:rFonts w:ascii="Verdana" w:eastAsia="Times New Roman" w:hAnsi="Verdana" w:cs="Arial"/>
          <w:sz w:val="20"/>
          <w:szCs w:val="20"/>
          <w:lang w:val="es-ES_tradnl" w:eastAsia="es-ES"/>
        </w:rPr>
      </w:pPr>
    </w:p>
    <w:p w14:paraId="6E8679CA" w14:textId="6F004E7D" w:rsidR="00C55482" w:rsidRPr="000E0B7B" w:rsidRDefault="00C55482" w:rsidP="00C5548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81</w:t>
      </w:r>
      <w:r w:rsidRPr="000E0B7B">
        <w:rPr>
          <w:rFonts w:ascii="Verdana" w:hAnsi="Verdana"/>
          <w:sz w:val="20"/>
          <w:szCs w:val="20"/>
        </w:rPr>
        <w:t>.</w:t>
      </w:r>
    </w:p>
    <w:p w14:paraId="0EF98898" w14:textId="34D2813D" w:rsidR="00DC17E7" w:rsidRPr="00653E80" w:rsidRDefault="00DC17E7" w:rsidP="00C55482">
      <w:pPr>
        <w:spacing w:after="0" w:line="240" w:lineRule="auto"/>
        <w:jc w:val="both"/>
        <w:rPr>
          <w:rFonts w:ascii="Verdana" w:eastAsia="Times New Roman" w:hAnsi="Verdana" w:cs="Arial"/>
          <w:sz w:val="20"/>
          <w:szCs w:val="20"/>
          <w:lang w:val="es-ES_tradnl" w:eastAsia="es-ES"/>
        </w:rPr>
      </w:pPr>
      <w:r w:rsidRPr="00653E80">
        <w:rPr>
          <w:rFonts w:ascii="Verdana" w:eastAsia="Times New Roman" w:hAnsi="Verdana" w:cs="Arial"/>
          <w:sz w:val="20"/>
          <w:szCs w:val="20"/>
          <w:lang w:val="es-ES_tradnl" w:eastAsia="es-ES"/>
        </w:rPr>
        <w:t>Los componentes principales 1, 2 y 3</w:t>
      </w:r>
      <w:r w:rsidR="00C55482">
        <w:rPr>
          <w:rFonts w:ascii="Verdana" w:eastAsia="Times New Roman" w:hAnsi="Verdana" w:cs="Arial"/>
          <w:sz w:val="20"/>
          <w:szCs w:val="20"/>
          <w:lang w:val="es-ES_tradnl" w:eastAsia="es-ES"/>
        </w:rPr>
        <w:t xml:space="preserve"> de la tabla 5</w:t>
      </w:r>
      <w:r w:rsidRPr="00653E80">
        <w:rPr>
          <w:rFonts w:ascii="Verdana" w:eastAsia="Times New Roman" w:hAnsi="Verdana" w:cs="Arial"/>
          <w:sz w:val="20"/>
          <w:szCs w:val="20"/>
          <w:lang w:val="es-ES_tradnl" w:eastAsia="es-ES"/>
        </w:rPr>
        <w:t xml:space="preserve"> describen los choques de tasa paralelo, de pendiente y convexidad respectivamente y se comportan como factores de riesgo independientes.</w:t>
      </w:r>
    </w:p>
    <w:p w14:paraId="15F9E386" w14:textId="77777777" w:rsidR="00DC17E7" w:rsidRPr="00653E80" w:rsidRDefault="00DC17E7" w:rsidP="00DC17E7">
      <w:pPr>
        <w:pStyle w:val="Prrafodelista"/>
        <w:spacing w:after="0" w:line="240" w:lineRule="auto"/>
        <w:ind w:left="0"/>
        <w:jc w:val="both"/>
        <w:rPr>
          <w:rFonts w:ascii="Verdana" w:eastAsia="Times New Roman" w:hAnsi="Verdana" w:cs="Arial"/>
          <w:sz w:val="20"/>
          <w:szCs w:val="20"/>
          <w:lang w:val="es-MX" w:eastAsia="es-ES"/>
        </w:rPr>
      </w:pPr>
    </w:p>
    <w:p w14:paraId="6D39816D" w14:textId="323BD89C" w:rsidR="00DC17E7" w:rsidRPr="00C55482" w:rsidRDefault="00DC17E7" w:rsidP="00C55482">
      <w:pPr>
        <w:pStyle w:val="Prrafodelista"/>
        <w:numPr>
          <w:ilvl w:val="0"/>
          <w:numId w:val="39"/>
        </w:numPr>
        <w:spacing w:after="0" w:line="240" w:lineRule="auto"/>
        <w:ind w:left="284" w:hanging="284"/>
        <w:jc w:val="both"/>
        <w:rPr>
          <w:rFonts w:ascii="Verdana" w:eastAsia="Times New Roman" w:hAnsi="Verdana" w:cs="Arial"/>
          <w:b/>
          <w:bCs/>
          <w:sz w:val="20"/>
          <w:szCs w:val="20"/>
          <w:lang w:val="es-MX" w:eastAsia="es-ES"/>
        </w:rPr>
      </w:pPr>
      <w:r w:rsidRPr="00C55482">
        <w:rPr>
          <w:rFonts w:ascii="Verdana" w:eastAsia="Times New Roman" w:hAnsi="Verdana" w:cs="Arial"/>
          <w:b/>
          <w:bCs/>
          <w:sz w:val="20"/>
          <w:szCs w:val="20"/>
          <w:lang w:val="es-MX" w:eastAsia="es-ES"/>
        </w:rPr>
        <w:t xml:space="preserve">Suma aritmética de los </w:t>
      </w:r>
      <w:proofErr w:type="spellStart"/>
      <w:r w:rsidRPr="00C55482">
        <w:rPr>
          <w:rFonts w:ascii="Verdana" w:eastAsia="Times New Roman" w:hAnsi="Verdana" w:cs="Arial"/>
          <w:b/>
          <w:bCs/>
          <w:sz w:val="20"/>
          <w:szCs w:val="20"/>
          <w:lang w:val="es-MX" w:eastAsia="es-ES"/>
        </w:rPr>
        <w:t>VeR</w:t>
      </w:r>
      <w:proofErr w:type="spellEnd"/>
      <w:r w:rsidRPr="00C55482">
        <w:rPr>
          <w:rFonts w:ascii="Verdana" w:eastAsia="Times New Roman" w:hAnsi="Verdana" w:cs="Arial"/>
          <w:b/>
          <w:bCs/>
          <w:sz w:val="20"/>
          <w:szCs w:val="20"/>
          <w:lang w:val="es-MX" w:eastAsia="es-ES"/>
        </w:rPr>
        <w:t xml:space="preserve"> de cada factor de riesgo (suma de los </w:t>
      </w:r>
      <w:r w:rsidR="00CC6CDA">
        <w:rPr>
          <w:rFonts w:ascii="Verdana" w:eastAsia="Times New Roman" w:hAnsi="Verdana" w:cs="Arial"/>
          <w:b/>
          <w:bCs/>
          <w:sz w:val="20"/>
          <w:szCs w:val="20"/>
          <w:lang w:val="es-MX" w:eastAsia="es-ES"/>
        </w:rPr>
        <w:t>v</w:t>
      </w:r>
      <w:r w:rsidRPr="00C55482">
        <w:rPr>
          <w:rFonts w:ascii="Verdana" w:eastAsia="Times New Roman" w:hAnsi="Verdana" w:cs="Arial"/>
          <w:b/>
          <w:bCs/>
          <w:sz w:val="20"/>
          <w:szCs w:val="20"/>
          <w:lang w:val="es-MX" w:eastAsia="es-ES"/>
        </w:rPr>
        <w:t xml:space="preserve">alores en </w:t>
      </w:r>
      <w:r w:rsidR="00CC6CDA">
        <w:rPr>
          <w:rFonts w:ascii="Verdana" w:eastAsia="Times New Roman" w:hAnsi="Verdana" w:cs="Arial"/>
          <w:b/>
          <w:bCs/>
          <w:sz w:val="20"/>
          <w:szCs w:val="20"/>
          <w:lang w:val="es-MX" w:eastAsia="es-ES"/>
        </w:rPr>
        <w:t>r</w:t>
      </w:r>
      <w:r w:rsidRPr="00C55482">
        <w:rPr>
          <w:rFonts w:ascii="Verdana" w:eastAsia="Times New Roman" w:hAnsi="Verdana" w:cs="Arial"/>
          <w:b/>
          <w:bCs/>
          <w:sz w:val="20"/>
          <w:szCs w:val="20"/>
          <w:lang w:val="es-MX" w:eastAsia="es-ES"/>
        </w:rPr>
        <w:t>iesgo de un mismo factor de riesgo)</w:t>
      </w:r>
    </w:p>
    <w:p w14:paraId="52272B4E" w14:textId="77777777" w:rsidR="00DC17E7" w:rsidRDefault="00DC17E7" w:rsidP="00DC17E7">
      <w:pPr>
        <w:spacing w:after="0" w:line="240" w:lineRule="auto"/>
        <w:jc w:val="both"/>
        <w:rPr>
          <w:rFonts w:ascii="Verdana" w:eastAsia="Times New Roman" w:hAnsi="Verdana" w:cs="Arial"/>
          <w:sz w:val="20"/>
          <w:szCs w:val="20"/>
          <w:lang w:val="es-ES_tradnl" w:eastAsia="es-ES"/>
        </w:rPr>
      </w:pPr>
    </w:p>
    <w:p w14:paraId="43B54127" w14:textId="77777777" w:rsidR="00DC17E7" w:rsidRPr="004E2B9B" w:rsidRDefault="00DC17E7" w:rsidP="004E2B9B">
      <w:pPr>
        <w:pStyle w:val="Prrafodelista"/>
        <w:numPr>
          <w:ilvl w:val="0"/>
          <w:numId w:val="47"/>
        </w:numPr>
        <w:spacing w:after="0" w:line="240" w:lineRule="auto"/>
        <w:ind w:left="567" w:hanging="283"/>
        <w:jc w:val="both"/>
        <w:rPr>
          <w:rFonts w:ascii="Verdana" w:eastAsia="Times New Roman" w:hAnsi="Verdana" w:cs="Arial"/>
          <w:b/>
          <w:bCs/>
          <w:sz w:val="20"/>
          <w:szCs w:val="20"/>
          <w:lang w:val="es-MX" w:eastAsia="es-ES"/>
        </w:rPr>
      </w:pPr>
      <w:r w:rsidRPr="004E2B9B">
        <w:rPr>
          <w:rFonts w:ascii="Verdana" w:eastAsia="Times New Roman" w:hAnsi="Verdana" w:cs="Arial"/>
          <w:b/>
          <w:bCs/>
          <w:sz w:val="20"/>
          <w:szCs w:val="20"/>
          <w:lang w:val="es-MX" w:eastAsia="es-ES"/>
        </w:rPr>
        <w:t>Factores de riesgo con cálculo de exposición por banda de tiempo</w:t>
      </w:r>
    </w:p>
    <w:p w14:paraId="1B914BA3" w14:textId="77777777" w:rsidR="00DC17E7" w:rsidRDefault="00DC17E7" w:rsidP="00DC17E7">
      <w:pPr>
        <w:spacing w:after="0" w:line="240" w:lineRule="auto"/>
        <w:ind w:left="284" w:hanging="284"/>
        <w:jc w:val="both"/>
        <w:rPr>
          <w:rFonts w:ascii="Verdana" w:eastAsia="Times New Roman" w:hAnsi="Verdana" w:cs="Arial"/>
          <w:sz w:val="20"/>
          <w:szCs w:val="20"/>
          <w:lang w:val="es-MX" w:eastAsia="es-ES"/>
        </w:rPr>
      </w:pPr>
    </w:p>
    <w:p w14:paraId="36F783F9" w14:textId="1433533B" w:rsidR="004E2B9B" w:rsidRPr="000E0B7B" w:rsidRDefault="004E2B9B" w:rsidP="004E2B9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82</w:t>
      </w:r>
      <w:r w:rsidRPr="000E0B7B">
        <w:rPr>
          <w:rFonts w:ascii="Verdana" w:hAnsi="Verdana"/>
          <w:sz w:val="20"/>
          <w:szCs w:val="20"/>
        </w:rPr>
        <w:t>.</w:t>
      </w:r>
    </w:p>
    <w:p w14:paraId="300F7738" w14:textId="0E3C07FF" w:rsidR="00DC17E7" w:rsidRPr="004E2B9B" w:rsidRDefault="00DC17E7" w:rsidP="004E2B9B">
      <w:pPr>
        <w:spacing w:after="0" w:line="240" w:lineRule="auto"/>
        <w:jc w:val="both"/>
        <w:rPr>
          <w:rFonts w:ascii="Verdana" w:eastAsia="Times New Roman" w:hAnsi="Verdana" w:cs="Arial"/>
          <w:sz w:val="20"/>
          <w:szCs w:val="20"/>
          <w:lang w:val="es-MX" w:eastAsia="es-ES"/>
        </w:rPr>
      </w:pPr>
      <w:r w:rsidRPr="004E2B9B">
        <w:rPr>
          <w:rFonts w:ascii="Verdana" w:eastAsia="Times New Roman" w:hAnsi="Verdana" w:cs="Arial"/>
          <w:sz w:val="20"/>
          <w:szCs w:val="20"/>
          <w:lang w:val="es-ES_tradnl" w:eastAsia="es-ES"/>
        </w:rPr>
        <w:t xml:space="preserve">En el caso del riesgo de tasa de interés en moneda legal y extranjera </w:t>
      </w:r>
      <w:r w:rsidRPr="004E2B9B">
        <w:rPr>
          <w:rFonts w:ascii="Verdana" w:eastAsia="Times New Roman" w:hAnsi="Verdana" w:cs="Arial"/>
          <w:sz w:val="20"/>
          <w:szCs w:val="20"/>
          <w:lang w:val="es-MX" w:eastAsia="es-ES"/>
        </w:rPr>
        <w:t>(</w:t>
      </w:r>
      <w:r w:rsidRPr="004E2B9B">
        <w:rPr>
          <w:rFonts w:ascii="Verdana" w:eastAsia="Times New Roman" w:hAnsi="Verdana" w:cs="Arial"/>
          <w:i/>
          <w:sz w:val="20"/>
          <w:szCs w:val="20"/>
          <w:lang w:val="es-MX" w:eastAsia="es-ES"/>
        </w:rPr>
        <w:t>Componentes Principales de las Curvas Cero Cupón, pesos, UVR y tesoros</w:t>
      </w:r>
      <w:r w:rsidRPr="004E2B9B">
        <w:rPr>
          <w:rFonts w:ascii="Verdana" w:eastAsia="Times New Roman" w:hAnsi="Verdana" w:cs="Arial"/>
          <w:sz w:val="20"/>
          <w:szCs w:val="20"/>
          <w:lang w:val="es-MX" w:eastAsia="es-ES"/>
        </w:rPr>
        <w:t>)</w:t>
      </w:r>
      <w:r w:rsidRPr="004E2B9B">
        <w:rPr>
          <w:rFonts w:ascii="Verdana" w:eastAsia="Times New Roman" w:hAnsi="Verdana" w:cs="Arial"/>
          <w:sz w:val="20"/>
          <w:szCs w:val="20"/>
          <w:lang w:val="es-ES_tradnl" w:eastAsia="es-ES"/>
        </w:rPr>
        <w:t xml:space="preserve">, existe un </w:t>
      </w:r>
      <w:proofErr w:type="spellStart"/>
      <w:r w:rsidRPr="004E2B9B">
        <w:rPr>
          <w:rFonts w:ascii="Verdana" w:eastAsia="Times New Roman" w:hAnsi="Verdana" w:cs="Arial"/>
          <w:sz w:val="20"/>
          <w:szCs w:val="20"/>
          <w:lang w:val="es-ES_tradnl" w:eastAsia="es-ES"/>
        </w:rPr>
        <w:t>VeR</w:t>
      </w:r>
      <w:proofErr w:type="spellEnd"/>
      <w:r w:rsidRPr="004E2B9B">
        <w:rPr>
          <w:rFonts w:ascii="Verdana" w:eastAsia="Times New Roman" w:hAnsi="Verdana" w:cs="Arial"/>
          <w:sz w:val="20"/>
          <w:szCs w:val="20"/>
          <w:lang w:val="es-ES_tradnl" w:eastAsia="es-ES"/>
        </w:rPr>
        <w:t xml:space="preserve"> por banda de tiempo para cada uno de los factores de riesgo (en este caso se aplicará solo para los factores 1 a 9 según la </w:t>
      </w:r>
      <w:r w:rsidR="00CC6CDA">
        <w:rPr>
          <w:rFonts w:ascii="Verdana" w:eastAsia="Times New Roman" w:hAnsi="Verdana" w:cs="Arial"/>
          <w:sz w:val="20"/>
          <w:szCs w:val="20"/>
          <w:lang w:val="es-ES_tradnl" w:eastAsia="es-ES"/>
        </w:rPr>
        <w:t>t</w:t>
      </w:r>
      <w:r w:rsidRPr="004E2B9B">
        <w:rPr>
          <w:rFonts w:ascii="Verdana" w:eastAsia="Times New Roman" w:hAnsi="Verdana" w:cs="Arial"/>
          <w:sz w:val="20"/>
          <w:szCs w:val="20"/>
          <w:lang w:val="es-ES_tradnl" w:eastAsia="es-ES"/>
        </w:rPr>
        <w:t>abla 5). Este valor en riesgo debe ser agregado aritméticamente de la siguiente forma</w:t>
      </w:r>
      <w:r w:rsidR="00A6440A">
        <w:rPr>
          <w:rFonts w:ascii="Verdana" w:eastAsia="Times New Roman" w:hAnsi="Verdana" w:cs="Arial"/>
          <w:sz w:val="20"/>
          <w:szCs w:val="20"/>
          <w:lang w:val="es-MX" w:eastAsia="es-ES"/>
        </w:rPr>
        <w:t>:</w:t>
      </w:r>
    </w:p>
    <w:p w14:paraId="5C5D725D" w14:textId="77777777" w:rsidR="00DC17E7" w:rsidRDefault="00DC17E7" w:rsidP="00DC17E7">
      <w:pPr>
        <w:spacing w:after="0" w:line="240" w:lineRule="auto"/>
        <w:ind w:left="284" w:hanging="284"/>
        <w:jc w:val="both"/>
        <w:rPr>
          <w:rFonts w:ascii="Verdana" w:eastAsia="Times New Roman" w:hAnsi="Verdana" w:cs="Arial"/>
          <w:sz w:val="20"/>
          <w:szCs w:val="20"/>
          <w:lang w:val="es-MX" w:eastAsia="es-ES"/>
        </w:rPr>
      </w:pPr>
    </w:p>
    <w:p w14:paraId="0D39AD48" w14:textId="48FA0EAD" w:rsidR="004E2B9B" w:rsidRPr="00653E80" w:rsidRDefault="00D556B2" w:rsidP="00DC17E7">
      <w:pPr>
        <w:spacing w:after="0" w:line="240" w:lineRule="auto"/>
        <w:ind w:left="284" w:hanging="284"/>
        <w:jc w:val="both"/>
        <w:rPr>
          <w:rFonts w:ascii="Verdana" w:eastAsia="Times New Roman" w:hAnsi="Verdana" w:cs="Arial"/>
          <w:sz w:val="20"/>
          <w:szCs w:val="20"/>
          <w:lang w:val="es-MX" w:eastAsia="es-ES"/>
        </w:rPr>
      </w:pPr>
      <m:oMathPara>
        <m:oMath>
          <m:sSub>
            <m:sSubPr>
              <m:ctrlPr>
                <w:rPr>
                  <w:rFonts w:ascii="Cambria Math" w:eastAsia="Times New Roman" w:hAnsi="Cambria Math" w:cs="Arial"/>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n</m:t>
              </m:r>
            </m:sub>
          </m:sSub>
          <m:r>
            <w:rPr>
              <w:rFonts w:ascii="Cambria Math" w:eastAsia="Times New Roman" w:hAnsi="Cambria Math" w:cs="Arial"/>
              <w:sz w:val="20"/>
              <w:szCs w:val="20"/>
              <w:lang w:val="es-MX" w:eastAsia="es-ES"/>
            </w:rPr>
            <m:t>=</m:t>
          </m:r>
          <m:nary>
            <m:naryPr>
              <m:chr m:val="∑"/>
              <m:limLoc m:val="undOvr"/>
              <m:ctrlPr>
                <w:rPr>
                  <w:rFonts w:ascii="Cambria Math" w:eastAsia="Times New Roman" w:hAnsi="Cambria Math" w:cs="Arial"/>
                  <w:i/>
                  <w:sz w:val="20"/>
                  <w:szCs w:val="20"/>
                  <w:lang w:val="es-MX" w:eastAsia="es-ES"/>
                </w:rPr>
              </m:ctrlPr>
            </m:naryPr>
            <m:sub>
              <m:r>
                <w:rPr>
                  <w:rFonts w:ascii="Cambria Math" w:eastAsia="Times New Roman" w:hAnsi="Cambria Math" w:cs="Arial"/>
                  <w:sz w:val="20"/>
                  <w:szCs w:val="20"/>
                  <w:lang w:val="es-MX" w:eastAsia="es-ES"/>
                </w:rPr>
                <m:t>i</m:t>
              </m:r>
              <m:r>
                <w:rPr>
                  <w:rFonts w:ascii="Cambria Math" w:eastAsia="Times New Roman" w:hAnsi="Cambria Math" w:cs="Arial"/>
                  <w:sz w:val="20"/>
                  <w:szCs w:val="20"/>
                  <w:lang w:val="es-MX" w:eastAsia="es-ES"/>
                </w:rPr>
                <m:t>=1</m:t>
              </m:r>
            </m:sub>
            <m:sup>
              <m:r>
                <w:rPr>
                  <w:rFonts w:ascii="Cambria Math" w:eastAsia="Times New Roman" w:hAnsi="Cambria Math" w:cs="Arial"/>
                  <w:sz w:val="20"/>
                  <w:szCs w:val="20"/>
                  <w:lang w:val="es-MX" w:eastAsia="es-ES"/>
                </w:rPr>
                <m:t>9</m:t>
              </m:r>
            </m:sup>
            <m:e>
              <m:sSub>
                <m:sSubPr>
                  <m:ctrlPr>
                    <w:rPr>
                      <w:rFonts w:ascii="Cambria Math" w:eastAsia="Times New Roman" w:hAnsi="Cambria Math" w:cs="Arial"/>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in</m:t>
                  </m:r>
                </m:sub>
              </m:sSub>
            </m:e>
          </m:nary>
        </m:oMath>
      </m:oMathPara>
    </w:p>
    <w:p w14:paraId="07F93D85" w14:textId="77777777" w:rsidR="00DC17E7" w:rsidRPr="00653E80" w:rsidRDefault="00DC17E7" w:rsidP="00DC17E7">
      <w:pPr>
        <w:spacing w:after="0" w:line="240" w:lineRule="auto"/>
        <w:ind w:left="284" w:hanging="284"/>
        <w:jc w:val="both"/>
        <w:rPr>
          <w:rFonts w:ascii="Verdana" w:eastAsia="Times New Roman" w:hAnsi="Verdana" w:cs="Arial"/>
          <w:sz w:val="20"/>
          <w:szCs w:val="20"/>
          <w:lang w:val="es-MX" w:eastAsia="es-ES"/>
        </w:rPr>
      </w:pPr>
    </w:p>
    <w:p w14:paraId="3ABB29AC" w14:textId="77777777" w:rsidR="00DC17E7" w:rsidRDefault="00DC17E7" w:rsidP="00A6440A">
      <w:pPr>
        <w:spacing w:after="0" w:line="240" w:lineRule="auto"/>
        <w:jc w:val="both"/>
        <w:rPr>
          <w:rFonts w:ascii="Verdana" w:eastAsia="Times New Roman" w:hAnsi="Verdana" w:cs="Arial"/>
          <w:sz w:val="20"/>
          <w:szCs w:val="20"/>
          <w:lang w:val="pt-BR" w:eastAsia="es-ES"/>
        </w:rPr>
      </w:pPr>
      <w:r w:rsidRPr="00653E80">
        <w:rPr>
          <w:rFonts w:ascii="Verdana" w:eastAsia="Times New Roman" w:hAnsi="Verdana" w:cs="Arial"/>
          <w:sz w:val="20"/>
          <w:szCs w:val="20"/>
          <w:lang w:val="pt-BR" w:eastAsia="es-ES"/>
        </w:rPr>
        <w:t>Donde:</w:t>
      </w:r>
    </w:p>
    <w:p w14:paraId="698B2FB6" w14:textId="77777777" w:rsidR="00A6440A" w:rsidRPr="00653E80" w:rsidRDefault="00A6440A" w:rsidP="00A6440A">
      <w:pPr>
        <w:spacing w:after="0" w:line="240" w:lineRule="auto"/>
        <w:jc w:val="both"/>
        <w:rPr>
          <w:rFonts w:ascii="Verdana" w:eastAsia="Times New Roman" w:hAnsi="Verdana" w:cs="Arial"/>
          <w:sz w:val="20"/>
          <w:szCs w:val="20"/>
          <w:lang w:val="pt-BR" w:eastAsia="es-ES"/>
        </w:rPr>
      </w:pPr>
    </w:p>
    <w:p w14:paraId="393A7776" w14:textId="61CFFB0A" w:rsidR="00DC17E7" w:rsidRPr="00A6440A" w:rsidRDefault="00A6440A" w:rsidP="00A6440A">
      <w:pPr>
        <w:spacing w:after="0" w:line="240" w:lineRule="auto"/>
        <w:jc w:val="both"/>
        <w:rPr>
          <w:rFonts w:ascii="Verdana" w:eastAsia="Times New Roman" w:hAnsi="Verdana" w:cs="Arial"/>
          <w:sz w:val="20"/>
          <w:szCs w:val="20"/>
          <w:lang w:eastAsia="es-ES"/>
        </w:rPr>
      </w:pPr>
      <m:oMath>
        <m:r>
          <w:rPr>
            <w:rFonts w:ascii="Cambria Math" w:eastAsia="Times New Roman" w:hAnsi="Cambria Math" w:cs="Arial"/>
            <w:sz w:val="20"/>
            <w:szCs w:val="20"/>
            <w:lang w:val="es-MX" w:eastAsia="es-ES"/>
          </w:rPr>
          <m:t>n</m:t>
        </m:r>
      </m:oMath>
      <w:r w:rsidR="00DC17E7" w:rsidRPr="00653E80">
        <w:rPr>
          <w:rFonts w:ascii="Verdana" w:eastAsia="Times New Roman" w:hAnsi="Verdana" w:cs="Arial"/>
          <w:sz w:val="20"/>
          <w:szCs w:val="20"/>
          <w:lang w:val="pt-BR" w:eastAsia="es-ES"/>
        </w:rPr>
        <w:t>:</w:t>
      </w:r>
      <w:r>
        <w:rPr>
          <w:rFonts w:ascii="Verdana" w:eastAsia="Times New Roman" w:hAnsi="Verdana" w:cs="Arial"/>
          <w:sz w:val="20"/>
          <w:szCs w:val="20"/>
          <w:lang w:val="pt-BR" w:eastAsia="es-ES"/>
        </w:rPr>
        <w:t xml:space="preserve"> </w:t>
      </w:r>
      <w:r w:rsidRPr="00A6440A">
        <w:rPr>
          <w:rFonts w:ascii="Verdana" w:eastAsia="Times New Roman" w:hAnsi="Verdana" w:cs="Arial"/>
          <w:sz w:val="20"/>
          <w:szCs w:val="20"/>
          <w:lang w:eastAsia="es-ES"/>
        </w:rPr>
        <w:t>es el f</w:t>
      </w:r>
      <w:r w:rsidR="00DC17E7" w:rsidRPr="00A6440A">
        <w:rPr>
          <w:rFonts w:ascii="Verdana" w:eastAsia="Times New Roman" w:hAnsi="Verdana" w:cs="Arial"/>
          <w:sz w:val="20"/>
          <w:szCs w:val="20"/>
          <w:lang w:eastAsia="es-ES"/>
        </w:rPr>
        <w:t>actor de riesgo n, n = 1</w:t>
      </w:r>
      <w:r w:rsidR="00CC6CDA" w:rsidRPr="00A6440A">
        <w:rPr>
          <w:rFonts w:ascii="Verdana" w:eastAsia="Times New Roman" w:hAnsi="Verdana" w:cs="Arial"/>
          <w:sz w:val="20"/>
          <w:szCs w:val="20"/>
          <w:lang w:eastAsia="es-ES"/>
        </w:rPr>
        <w:t>…</w:t>
      </w:r>
      <w:r w:rsidR="00DC17E7" w:rsidRPr="00A6440A">
        <w:rPr>
          <w:rFonts w:ascii="Verdana" w:eastAsia="Times New Roman" w:hAnsi="Verdana" w:cs="Arial"/>
          <w:sz w:val="20"/>
          <w:szCs w:val="20"/>
          <w:lang w:eastAsia="es-ES"/>
        </w:rPr>
        <w:t>9.</w:t>
      </w:r>
    </w:p>
    <w:p w14:paraId="0501DD44" w14:textId="77777777" w:rsidR="00A6440A" w:rsidRPr="00A6440A" w:rsidRDefault="00A6440A" w:rsidP="00A6440A">
      <w:pPr>
        <w:spacing w:after="0" w:line="240" w:lineRule="auto"/>
        <w:jc w:val="both"/>
        <w:rPr>
          <w:rFonts w:ascii="Verdana" w:eastAsia="Times New Roman" w:hAnsi="Verdana" w:cs="Arial"/>
          <w:sz w:val="20"/>
          <w:szCs w:val="20"/>
          <w:lang w:eastAsia="es-ES"/>
        </w:rPr>
      </w:pPr>
    </w:p>
    <w:p w14:paraId="72CB74C2" w14:textId="387C7A77" w:rsidR="00A6440A" w:rsidRDefault="00A6440A" w:rsidP="00A6440A">
      <w:pPr>
        <w:spacing w:after="0" w:line="240" w:lineRule="auto"/>
        <w:jc w:val="both"/>
        <w:rPr>
          <w:rFonts w:ascii="Verdana" w:eastAsia="Times New Roman" w:hAnsi="Verdana" w:cs="Arial"/>
          <w:sz w:val="20"/>
          <w:szCs w:val="20"/>
          <w:lang w:val="es-ES_tradnl" w:eastAsia="es-ES"/>
        </w:rPr>
      </w:pPr>
      <m:oMath>
        <m:r>
          <w:rPr>
            <w:rFonts w:ascii="Cambria Math" w:eastAsia="Times New Roman" w:hAnsi="Cambria Math" w:cs="Arial"/>
            <w:sz w:val="20"/>
            <w:szCs w:val="20"/>
            <w:lang w:eastAsia="es-ES"/>
          </w:rPr>
          <m:t>i</m:t>
        </m:r>
      </m:oMath>
      <w:r w:rsidR="00DC17E7" w:rsidRPr="00A6440A">
        <w:rPr>
          <w:rFonts w:ascii="Verdana" w:eastAsia="Times New Roman" w:hAnsi="Verdana" w:cs="Arial"/>
          <w:sz w:val="20"/>
          <w:szCs w:val="20"/>
          <w:lang w:eastAsia="es-ES"/>
        </w:rPr>
        <w:t>:</w:t>
      </w:r>
      <w:r w:rsidRPr="00A6440A">
        <w:rPr>
          <w:rFonts w:ascii="Verdana" w:eastAsia="Times New Roman" w:hAnsi="Verdana" w:cs="Arial"/>
          <w:sz w:val="20"/>
          <w:szCs w:val="20"/>
          <w:lang w:eastAsia="es-ES"/>
        </w:rPr>
        <w:t xml:space="preserve"> es la b</w:t>
      </w:r>
      <w:r w:rsidR="00DC17E7" w:rsidRPr="00A6440A">
        <w:rPr>
          <w:rFonts w:ascii="Verdana" w:eastAsia="Times New Roman" w:hAnsi="Verdana" w:cs="Arial"/>
          <w:sz w:val="20"/>
          <w:szCs w:val="20"/>
          <w:lang w:eastAsia="es-ES"/>
        </w:rPr>
        <w:t>anda de tiempo</w:t>
      </w:r>
      <w:r w:rsidR="00DC17E7" w:rsidRPr="00653E80">
        <w:rPr>
          <w:rFonts w:ascii="Verdana" w:eastAsia="Times New Roman" w:hAnsi="Verdana" w:cs="Arial"/>
          <w:sz w:val="20"/>
          <w:szCs w:val="20"/>
          <w:lang w:val="es-ES_tradnl" w:eastAsia="es-ES"/>
        </w:rPr>
        <w:t xml:space="preserve"> para cálculo de exposición al riesgo de mercado para tasa de interés </w:t>
      </w:r>
    </w:p>
    <w:p w14:paraId="073B6DA6" w14:textId="77777777" w:rsidR="00A6440A" w:rsidRDefault="00A6440A" w:rsidP="00A6440A">
      <w:pPr>
        <w:spacing w:after="0" w:line="240" w:lineRule="auto"/>
        <w:jc w:val="both"/>
        <w:rPr>
          <w:rFonts w:ascii="Verdana" w:eastAsia="Times New Roman" w:hAnsi="Verdana" w:cs="Arial"/>
          <w:noProof/>
          <w:sz w:val="20"/>
          <w:szCs w:val="20"/>
          <w:lang w:val="es-ES_tradnl" w:eastAsia="es-ES"/>
        </w:rPr>
      </w:pPr>
    </w:p>
    <w:p w14:paraId="1305CAC1" w14:textId="7A6249F4" w:rsidR="00DC17E7" w:rsidRPr="00653E80" w:rsidRDefault="00D556B2" w:rsidP="00A6440A">
      <w:pPr>
        <w:spacing w:after="0" w:line="240" w:lineRule="auto"/>
        <w:jc w:val="both"/>
        <w:rPr>
          <w:rFonts w:ascii="Verdana" w:eastAsia="Times New Roman" w:hAnsi="Verdana" w:cs="Arial"/>
          <w:sz w:val="20"/>
          <w:szCs w:val="20"/>
          <w:lang w:val="es-ES_tradnl" w:eastAsia="es-ES"/>
        </w:rPr>
      </w:pPr>
      <m:oMath>
        <m:sSub>
          <m:sSubPr>
            <m:ctrlPr>
              <w:rPr>
                <w:rFonts w:ascii="Cambria Math" w:eastAsia="Times New Roman" w:hAnsi="Cambria Math" w:cs="Arial"/>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in</m:t>
            </m:r>
          </m:sub>
        </m:sSub>
      </m:oMath>
      <w:r w:rsidR="00DC17E7" w:rsidRPr="00653E80">
        <w:rPr>
          <w:rFonts w:ascii="Verdana" w:eastAsia="Times New Roman" w:hAnsi="Verdana" w:cs="Arial"/>
          <w:sz w:val="20"/>
          <w:szCs w:val="20"/>
          <w:lang w:val="es-ES_tradnl" w:eastAsia="es-ES"/>
        </w:rPr>
        <w:t>:</w:t>
      </w:r>
      <w:r w:rsidR="00DC17E7" w:rsidRPr="00653E80">
        <w:rPr>
          <w:rFonts w:ascii="Verdana" w:eastAsia="Times New Roman" w:hAnsi="Verdana" w:cs="Arial"/>
          <w:sz w:val="20"/>
          <w:szCs w:val="20"/>
          <w:lang w:val="es-ES_tradnl" w:eastAsia="es-ES"/>
        </w:rPr>
        <w:tab/>
      </w:r>
      <w:r w:rsidR="00A6440A">
        <w:rPr>
          <w:rFonts w:ascii="Verdana" w:eastAsia="Times New Roman" w:hAnsi="Verdana" w:cs="Arial"/>
          <w:sz w:val="20"/>
          <w:szCs w:val="20"/>
          <w:lang w:val="es-ES_tradnl" w:eastAsia="es-ES"/>
        </w:rPr>
        <w:t>es el v</w:t>
      </w:r>
      <w:r w:rsidR="00DC17E7" w:rsidRPr="00653E80">
        <w:rPr>
          <w:rFonts w:ascii="Verdana" w:eastAsia="Times New Roman" w:hAnsi="Verdana" w:cs="Arial"/>
          <w:sz w:val="20"/>
          <w:szCs w:val="20"/>
          <w:lang w:val="es-ES_tradnl" w:eastAsia="es-ES"/>
        </w:rPr>
        <w:t xml:space="preserve">alor en </w:t>
      </w:r>
      <w:r w:rsidR="00A6440A">
        <w:rPr>
          <w:rFonts w:ascii="Verdana" w:eastAsia="Times New Roman" w:hAnsi="Verdana" w:cs="Arial"/>
          <w:sz w:val="20"/>
          <w:szCs w:val="20"/>
          <w:lang w:val="es-ES_tradnl" w:eastAsia="es-ES"/>
        </w:rPr>
        <w:t>r</w:t>
      </w:r>
      <w:r w:rsidR="00DC17E7" w:rsidRPr="00653E80">
        <w:rPr>
          <w:rFonts w:ascii="Verdana" w:eastAsia="Times New Roman" w:hAnsi="Verdana" w:cs="Arial"/>
          <w:sz w:val="20"/>
          <w:szCs w:val="20"/>
          <w:lang w:val="es-ES_tradnl" w:eastAsia="es-ES"/>
        </w:rPr>
        <w:t>iesgo de la banda de tiempo i para el factor de riesgo n.</w:t>
      </w:r>
    </w:p>
    <w:p w14:paraId="6D4723E9" w14:textId="77777777" w:rsidR="00A6440A" w:rsidRDefault="00A6440A" w:rsidP="00A6440A">
      <w:pPr>
        <w:spacing w:after="0" w:line="240" w:lineRule="auto"/>
        <w:jc w:val="both"/>
        <w:rPr>
          <w:rFonts w:ascii="Verdana" w:eastAsia="Times New Roman" w:hAnsi="Verdana" w:cs="Arial"/>
          <w:noProof/>
          <w:sz w:val="20"/>
          <w:szCs w:val="20"/>
          <w:lang w:val="es-ES_tradnl" w:eastAsia="es-ES"/>
        </w:rPr>
      </w:pPr>
    </w:p>
    <w:p w14:paraId="603FFC44" w14:textId="595248EA" w:rsidR="00DC17E7" w:rsidRPr="00653E80" w:rsidRDefault="00D556B2" w:rsidP="00A6440A">
      <w:pPr>
        <w:spacing w:after="0" w:line="240" w:lineRule="auto"/>
        <w:jc w:val="both"/>
        <w:rPr>
          <w:rFonts w:ascii="Verdana" w:eastAsia="Times New Roman" w:hAnsi="Verdana" w:cs="Arial"/>
          <w:sz w:val="20"/>
          <w:szCs w:val="20"/>
          <w:lang w:val="es-ES_tradnl" w:eastAsia="es-ES"/>
        </w:rPr>
      </w:pPr>
      <m:oMath>
        <m:sSub>
          <m:sSubPr>
            <m:ctrlPr>
              <w:rPr>
                <w:rFonts w:ascii="Cambria Math" w:eastAsia="Times New Roman" w:hAnsi="Cambria Math" w:cs="Arial"/>
                <w:i/>
                <w:sz w:val="20"/>
                <w:szCs w:val="20"/>
                <w:lang w:val="es-MX" w:eastAsia="es-ES"/>
              </w:rPr>
            </m:ctrlPr>
          </m:sSubPr>
          <m:e>
            <m:r>
              <w:rPr>
                <w:rFonts w:ascii="Cambria Math" w:eastAsia="Times New Roman" w:hAnsi="Cambria Math" w:cs="Arial"/>
                <w:sz w:val="20"/>
                <w:szCs w:val="20"/>
                <w:lang w:val="es-MX" w:eastAsia="es-ES"/>
              </w:rPr>
              <m:t>VeR</m:t>
            </m:r>
          </m:e>
          <m:sub>
            <m:r>
              <w:rPr>
                <w:rFonts w:ascii="Cambria Math" w:eastAsia="Times New Roman" w:hAnsi="Cambria Math" w:cs="Arial"/>
                <w:sz w:val="20"/>
                <w:szCs w:val="20"/>
                <w:lang w:val="es-MX" w:eastAsia="es-ES"/>
              </w:rPr>
              <m:t>n</m:t>
            </m:r>
          </m:sub>
        </m:sSub>
      </m:oMath>
      <w:r w:rsidR="00DC17E7" w:rsidRPr="00653E80">
        <w:rPr>
          <w:rFonts w:ascii="Verdana" w:eastAsia="Times New Roman" w:hAnsi="Verdana" w:cs="Arial"/>
          <w:sz w:val="20"/>
          <w:szCs w:val="20"/>
          <w:lang w:val="es-ES_tradnl" w:eastAsia="es-ES"/>
        </w:rPr>
        <w:t>:</w:t>
      </w:r>
      <w:r w:rsidR="00DC17E7" w:rsidRPr="00653E80">
        <w:rPr>
          <w:rFonts w:ascii="Verdana" w:eastAsia="Times New Roman" w:hAnsi="Verdana" w:cs="Arial"/>
          <w:sz w:val="20"/>
          <w:szCs w:val="20"/>
          <w:lang w:val="es-ES_tradnl" w:eastAsia="es-ES"/>
        </w:rPr>
        <w:tab/>
      </w:r>
      <w:r w:rsidR="00A6440A">
        <w:rPr>
          <w:rFonts w:ascii="Verdana" w:eastAsia="Times New Roman" w:hAnsi="Verdana" w:cs="Arial"/>
          <w:sz w:val="20"/>
          <w:szCs w:val="20"/>
          <w:lang w:val="es-ES_tradnl" w:eastAsia="es-ES"/>
        </w:rPr>
        <w:t>es el v</w:t>
      </w:r>
      <w:r w:rsidR="00DC17E7" w:rsidRPr="00653E80">
        <w:rPr>
          <w:rFonts w:ascii="Verdana" w:eastAsia="Times New Roman" w:hAnsi="Verdana" w:cs="Arial"/>
          <w:sz w:val="20"/>
          <w:szCs w:val="20"/>
          <w:lang w:val="es-ES_tradnl" w:eastAsia="es-ES"/>
        </w:rPr>
        <w:t>alor en riesgo total del factor de riesgo n.</w:t>
      </w:r>
    </w:p>
    <w:p w14:paraId="11BDB8B6" w14:textId="77777777" w:rsidR="00DC17E7" w:rsidRPr="000E0B7B" w:rsidRDefault="00DC17E7" w:rsidP="00DC17E7">
      <w:pPr>
        <w:spacing w:after="0"/>
        <w:rPr>
          <w:rFonts w:ascii="Verdana" w:hAnsi="Verdana"/>
          <w:sz w:val="20"/>
          <w:szCs w:val="20"/>
        </w:rPr>
      </w:pPr>
    </w:p>
    <w:p w14:paraId="3663E932" w14:textId="77777777" w:rsidR="00DC17E7" w:rsidRPr="004E2B9B" w:rsidRDefault="00DC17E7" w:rsidP="004E2B9B">
      <w:pPr>
        <w:pStyle w:val="Prrafodelista"/>
        <w:numPr>
          <w:ilvl w:val="0"/>
          <w:numId w:val="47"/>
        </w:numPr>
        <w:spacing w:after="0" w:line="240" w:lineRule="auto"/>
        <w:ind w:left="567" w:hanging="294"/>
        <w:jc w:val="both"/>
        <w:rPr>
          <w:rFonts w:ascii="Verdana" w:eastAsia="Times New Roman" w:hAnsi="Verdana" w:cs="Arial"/>
          <w:b/>
          <w:bCs/>
          <w:sz w:val="20"/>
          <w:szCs w:val="20"/>
          <w:lang w:val="es-MX" w:eastAsia="es-ES"/>
        </w:rPr>
      </w:pPr>
      <w:r w:rsidRPr="004E2B9B">
        <w:rPr>
          <w:rFonts w:ascii="Verdana" w:eastAsia="Times New Roman" w:hAnsi="Verdana" w:cs="Arial"/>
          <w:b/>
          <w:bCs/>
          <w:sz w:val="20"/>
          <w:szCs w:val="20"/>
          <w:lang w:val="es-MX" w:eastAsia="es-ES"/>
        </w:rPr>
        <w:t>Factores de riesgo con cálculo de exposición total (sin bandas de tiempo)</w:t>
      </w:r>
    </w:p>
    <w:p w14:paraId="31F5FD27" w14:textId="77777777" w:rsidR="00DC17E7" w:rsidRDefault="00DC17E7" w:rsidP="00DC17E7">
      <w:pPr>
        <w:spacing w:after="0" w:line="240" w:lineRule="auto"/>
        <w:jc w:val="both"/>
        <w:rPr>
          <w:rFonts w:ascii="Verdana" w:eastAsia="Times New Roman" w:hAnsi="Verdana" w:cs="Arial"/>
          <w:bCs/>
          <w:sz w:val="20"/>
          <w:szCs w:val="20"/>
          <w:lang w:val="es-MX" w:eastAsia="es-ES"/>
        </w:rPr>
      </w:pPr>
    </w:p>
    <w:p w14:paraId="4269ABBB" w14:textId="05D2FF9C" w:rsidR="004E2B9B" w:rsidRPr="000E0B7B" w:rsidRDefault="004E2B9B" w:rsidP="004E2B9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83</w:t>
      </w:r>
      <w:r w:rsidRPr="000E0B7B">
        <w:rPr>
          <w:rFonts w:ascii="Verdana" w:hAnsi="Verdana"/>
          <w:sz w:val="20"/>
          <w:szCs w:val="20"/>
        </w:rPr>
        <w:t>.</w:t>
      </w:r>
    </w:p>
    <w:p w14:paraId="44FDA0C7" w14:textId="1E5D3F50" w:rsidR="00DC17E7" w:rsidRDefault="00DC17E7" w:rsidP="004E2B9B">
      <w:pPr>
        <w:spacing w:after="0" w:line="240" w:lineRule="auto"/>
        <w:jc w:val="both"/>
        <w:rPr>
          <w:rFonts w:ascii="Verdana" w:eastAsia="Times New Roman" w:hAnsi="Verdana" w:cs="Arial"/>
          <w:bCs/>
          <w:sz w:val="20"/>
          <w:szCs w:val="20"/>
          <w:lang w:val="es-MX" w:eastAsia="es-ES"/>
        </w:rPr>
      </w:pPr>
      <w:r w:rsidRPr="004E2B9B">
        <w:rPr>
          <w:rFonts w:ascii="Verdana" w:eastAsia="Times New Roman" w:hAnsi="Verdana" w:cs="Arial"/>
          <w:bCs/>
          <w:sz w:val="20"/>
          <w:szCs w:val="20"/>
          <w:lang w:val="es-MX" w:eastAsia="es-ES"/>
        </w:rPr>
        <w:t xml:space="preserve">En el caso de los factores de riesgo 10 a 18, listados en la </w:t>
      </w:r>
      <w:r w:rsidR="00CC6CDA">
        <w:rPr>
          <w:rFonts w:ascii="Verdana" w:eastAsia="Times New Roman" w:hAnsi="Verdana" w:cs="Arial"/>
          <w:bCs/>
          <w:sz w:val="20"/>
          <w:szCs w:val="20"/>
          <w:lang w:val="es-MX" w:eastAsia="es-ES"/>
        </w:rPr>
        <w:t>t</w:t>
      </w:r>
      <w:r w:rsidRPr="004E2B9B">
        <w:rPr>
          <w:rFonts w:ascii="Verdana" w:eastAsia="Times New Roman" w:hAnsi="Verdana" w:cs="Arial"/>
          <w:bCs/>
          <w:sz w:val="20"/>
          <w:szCs w:val="20"/>
          <w:lang w:val="es-MX" w:eastAsia="es-ES"/>
        </w:rPr>
        <w:t>abla 5, no se hace necesaria una agregación aritmética de la exposición dado que estos no utilizan bandas de tiempo para el cálculo de la exposición. En este caso se tomará el valor de la exposición total calculada, según lo descrito en el presente</w:t>
      </w:r>
      <w:r w:rsidR="00CC6CDA">
        <w:rPr>
          <w:rFonts w:ascii="Verdana" w:eastAsia="Times New Roman" w:hAnsi="Verdana" w:cs="Arial"/>
          <w:bCs/>
          <w:sz w:val="20"/>
          <w:szCs w:val="20"/>
          <w:lang w:val="es-MX" w:eastAsia="es-ES"/>
        </w:rPr>
        <w:t xml:space="preserve"> anexo</w:t>
      </w:r>
      <w:r w:rsidRPr="004E2B9B">
        <w:rPr>
          <w:rFonts w:ascii="Verdana" w:eastAsia="Times New Roman" w:hAnsi="Verdana" w:cs="Arial"/>
          <w:bCs/>
          <w:sz w:val="20"/>
          <w:szCs w:val="20"/>
          <w:lang w:val="es-MX" w:eastAsia="es-ES"/>
        </w:rPr>
        <w:t xml:space="preserve">.  </w:t>
      </w:r>
    </w:p>
    <w:p w14:paraId="510DC371" w14:textId="77777777" w:rsidR="00DC17E7" w:rsidRDefault="00DC17E7" w:rsidP="00DC17E7">
      <w:pPr>
        <w:spacing w:after="0" w:line="240" w:lineRule="auto"/>
        <w:jc w:val="both"/>
        <w:rPr>
          <w:rFonts w:ascii="Verdana" w:eastAsia="Times New Roman" w:hAnsi="Verdana" w:cs="Arial"/>
          <w:bCs/>
          <w:sz w:val="20"/>
          <w:szCs w:val="20"/>
          <w:lang w:val="es-MX" w:eastAsia="es-ES"/>
        </w:rPr>
      </w:pPr>
    </w:p>
    <w:p w14:paraId="180F9507" w14:textId="6409F085" w:rsidR="00DC17E7" w:rsidRPr="00B32A91" w:rsidRDefault="00DC17E7" w:rsidP="00B32A91">
      <w:pPr>
        <w:pStyle w:val="Prrafodelista"/>
        <w:numPr>
          <w:ilvl w:val="0"/>
          <w:numId w:val="39"/>
        </w:numPr>
        <w:spacing w:after="0" w:line="240" w:lineRule="auto"/>
        <w:ind w:left="284" w:hanging="284"/>
        <w:jc w:val="both"/>
        <w:rPr>
          <w:rFonts w:ascii="Verdana" w:eastAsia="Times New Roman" w:hAnsi="Verdana" w:cs="Arial"/>
          <w:b/>
          <w:bCs/>
          <w:snapToGrid w:val="0"/>
          <w:sz w:val="20"/>
          <w:szCs w:val="20"/>
          <w:lang w:val="es-MX" w:eastAsia="es-ES"/>
        </w:rPr>
      </w:pPr>
      <w:r w:rsidRPr="00B32A91">
        <w:rPr>
          <w:rFonts w:ascii="Verdana" w:eastAsia="Times New Roman" w:hAnsi="Verdana" w:cs="Arial"/>
          <w:b/>
          <w:bCs/>
          <w:sz w:val="20"/>
          <w:szCs w:val="20"/>
          <w:lang w:val="es-MX" w:eastAsia="es-ES"/>
        </w:rPr>
        <w:t xml:space="preserve">Método de agregación (suma de los </w:t>
      </w:r>
      <w:r w:rsidR="00187A95">
        <w:rPr>
          <w:rFonts w:ascii="Verdana" w:eastAsia="Times New Roman" w:hAnsi="Verdana" w:cs="Arial"/>
          <w:b/>
          <w:bCs/>
          <w:sz w:val="20"/>
          <w:szCs w:val="20"/>
          <w:lang w:val="es-MX" w:eastAsia="es-ES"/>
        </w:rPr>
        <w:t>v</w:t>
      </w:r>
      <w:r w:rsidRPr="00B32A91">
        <w:rPr>
          <w:rFonts w:ascii="Verdana" w:eastAsia="Times New Roman" w:hAnsi="Verdana" w:cs="Arial"/>
          <w:b/>
          <w:bCs/>
          <w:sz w:val="20"/>
          <w:szCs w:val="20"/>
          <w:lang w:val="es-MX" w:eastAsia="es-ES"/>
        </w:rPr>
        <w:t xml:space="preserve">alores en </w:t>
      </w:r>
      <w:r w:rsidR="00187A95">
        <w:rPr>
          <w:rFonts w:ascii="Verdana" w:eastAsia="Times New Roman" w:hAnsi="Verdana" w:cs="Arial"/>
          <w:b/>
          <w:bCs/>
          <w:sz w:val="20"/>
          <w:szCs w:val="20"/>
          <w:lang w:val="es-MX" w:eastAsia="es-ES"/>
        </w:rPr>
        <w:t>r</w:t>
      </w:r>
      <w:r w:rsidRPr="00B32A91">
        <w:rPr>
          <w:rFonts w:ascii="Verdana" w:eastAsia="Times New Roman" w:hAnsi="Verdana" w:cs="Arial"/>
          <w:b/>
          <w:bCs/>
          <w:sz w:val="20"/>
          <w:szCs w:val="20"/>
          <w:lang w:val="es-MX" w:eastAsia="es-ES"/>
        </w:rPr>
        <w:t>iesgo de los diferentes factores de riesgo</w:t>
      </w:r>
      <w:r w:rsidRPr="00B32A91">
        <w:rPr>
          <w:rFonts w:ascii="Verdana" w:eastAsia="Times New Roman" w:hAnsi="Verdana" w:cs="Arial"/>
          <w:b/>
          <w:bCs/>
          <w:snapToGrid w:val="0"/>
          <w:sz w:val="20"/>
          <w:szCs w:val="20"/>
          <w:lang w:val="es-MX" w:eastAsia="es-ES"/>
        </w:rPr>
        <w:t>)</w:t>
      </w:r>
    </w:p>
    <w:p w14:paraId="28D4F241" w14:textId="77777777" w:rsidR="00DC17E7" w:rsidRPr="00653E80" w:rsidRDefault="00DC17E7" w:rsidP="00DC17E7">
      <w:pPr>
        <w:spacing w:after="0" w:line="240" w:lineRule="auto"/>
        <w:jc w:val="both"/>
        <w:rPr>
          <w:rFonts w:ascii="Verdana" w:eastAsia="Times New Roman" w:hAnsi="Verdana" w:cs="Arial"/>
          <w:bCs/>
          <w:snapToGrid w:val="0"/>
          <w:sz w:val="20"/>
          <w:szCs w:val="20"/>
          <w:lang w:val="es-MX" w:eastAsia="es-ES"/>
        </w:rPr>
      </w:pPr>
    </w:p>
    <w:p w14:paraId="0C5E70BF" w14:textId="3E2AA533"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84</w:t>
      </w:r>
      <w:r w:rsidRPr="000E0B7B">
        <w:rPr>
          <w:rFonts w:ascii="Verdana" w:hAnsi="Verdana"/>
          <w:sz w:val="20"/>
          <w:szCs w:val="20"/>
        </w:rPr>
        <w:t>.</w:t>
      </w:r>
    </w:p>
    <w:p w14:paraId="1E180DA8" w14:textId="77777777" w:rsidR="00DC17E7" w:rsidRPr="00653E80" w:rsidRDefault="00DC17E7" w:rsidP="00DC17E7">
      <w:pPr>
        <w:spacing w:after="0" w:line="240" w:lineRule="auto"/>
        <w:jc w:val="both"/>
        <w:rPr>
          <w:rFonts w:ascii="Verdana" w:eastAsia="Times New Roman" w:hAnsi="Verdana" w:cs="Arial"/>
          <w:bCs/>
          <w:sz w:val="20"/>
          <w:szCs w:val="20"/>
          <w:lang w:val="es-MX" w:eastAsia="es-ES"/>
        </w:rPr>
      </w:pPr>
      <w:r w:rsidRPr="00653E80">
        <w:rPr>
          <w:rFonts w:ascii="Verdana" w:eastAsia="Times New Roman" w:hAnsi="Verdana" w:cs="Arial"/>
          <w:bCs/>
          <w:sz w:val="20"/>
          <w:szCs w:val="20"/>
          <w:lang w:val="es-MX" w:eastAsia="es-ES"/>
        </w:rPr>
        <w:t xml:space="preserve">Para generar la exposición total al riesgo de mercado, es necesario calcular el </w:t>
      </w:r>
      <w:proofErr w:type="spellStart"/>
      <w:r w:rsidRPr="00653E80">
        <w:rPr>
          <w:rFonts w:ascii="Verdana" w:eastAsia="Times New Roman" w:hAnsi="Verdana" w:cs="Arial"/>
          <w:bCs/>
          <w:sz w:val="20"/>
          <w:szCs w:val="20"/>
          <w:lang w:val="es-MX" w:eastAsia="es-ES"/>
        </w:rPr>
        <w:t>VeR</w:t>
      </w:r>
      <w:proofErr w:type="spellEnd"/>
      <w:r w:rsidRPr="00653E80">
        <w:rPr>
          <w:rFonts w:ascii="Verdana" w:eastAsia="Times New Roman" w:hAnsi="Verdana" w:cs="Arial"/>
          <w:bCs/>
          <w:sz w:val="20"/>
          <w:szCs w:val="20"/>
          <w:lang w:val="es-MX" w:eastAsia="es-ES"/>
        </w:rPr>
        <w:t xml:space="preserve"> del portafolio diversificado de la siguiente manera:</w:t>
      </w:r>
    </w:p>
    <w:p w14:paraId="1BD09756" w14:textId="77777777" w:rsidR="00DC17E7" w:rsidRDefault="00DC17E7" w:rsidP="00DC17E7">
      <w:pPr>
        <w:spacing w:after="0" w:line="240" w:lineRule="auto"/>
        <w:jc w:val="both"/>
        <w:rPr>
          <w:rFonts w:ascii="Verdana" w:eastAsia="Times New Roman" w:hAnsi="Verdana" w:cs="Arial"/>
          <w:spacing w:val="20"/>
          <w:sz w:val="20"/>
          <w:szCs w:val="20"/>
          <w:lang w:val="es-ES" w:eastAsia="es-ES"/>
        </w:rPr>
      </w:pPr>
    </w:p>
    <w:p w14:paraId="2C4A85A6" w14:textId="5DDFCE9D" w:rsidR="00DC17E7" w:rsidRPr="00375F86" w:rsidRDefault="00A6440A" w:rsidP="00375F86">
      <w:pPr>
        <w:spacing w:after="0" w:line="240" w:lineRule="auto"/>
        <w:jc w:val="both"/>
        <w:rPr>
          <w:rFonts w:ascii="Verdana" w:eastAsia="Times New Roman" w:hAnsi="Verdana" w:cs="Arial"/>
          <w:spacing w:val="20"/>
          <w:sz w:val="20"/>
          <w:szCs w:val="20"/>
          <w:lang w:val="es-ES" w:eastAsia="es-ES"/>
        </w:rPr>
      </w:pPr>
      <m:oMathPara>
        <m:oMath>
          <m:r>
            <w:rPr>
              <w:rFonts w:ascii="Cambria Math" w:eastAsia="Times New Roman" w:hAnsi="Cambria Math" w:cs="Arial"/>
              <w:spacing w:val="20"/>
              <w:sz w:val="20"/>
              <w:szCs w:val="20"/>
              <w:lang w:val="es-ES" w:eastAsia="es-ES"/>
            </w:rPr>
            <m:t>VeR=</m:t>
          </m:r>
          <m:rad>
            <m:radPr>
              <m:degHide m:val="1"/>
              <m:ctrlPr>
                <w:rPr>
                  <w:rFonts w:ascii="Cambria Math" w:eastAsia="Times New Roman" w:hAnsi="Cambria Math" w:cs="Arial"/>
                  <w:i/>
                  <w:spacing w:val="20"/>
                  <w:sz w:val="20"/>
                  <w:szCs w:val="20"/>
                  <w:lang w:val="es-ES" w:eastAsia="es-ES"/>
                </w:rPr>
              </m:ctrlPr>
            </m:radPr>
            <m:deg/>
            <m:e>
              <m:sSub>
                <m:sSubPr>
                  <m:ctrlPr>
                    <w:rPr>
                      <w:rFonts w:ascii="Cambria Math" w:eastAsia="Times New Roman" w:hAnsi="Cambria Math" w:cs="Arial"/>
                      <w:i/>
                      <w:spacing w:val="20"/>
                      <w:sz w:val="20"/>
                      <w:szCs w:val="20"/>
                      <w:lang w:val="es-ES" w:eastAsia="es-ES"/>
                    </w:rPr>
                  </m:ctrlPr>
                </m:sSubPr>
                <m:e>
                  <m:r>
                    <w:rPr>
                      <w:rFonts w:ascii="Cambria Math" w:eastAsia="Times New Roman" w:hAnsi="Cambria Math" w:cs="Arial"/>
                      <w:spacing w:val="20"/>
                      <w:sz w:val="20"/>
                      <w:szCs w:val="20"/>
                      <w:lang w:val="es-ES" w:eastAsia="es-ES"/>
                    </w:rPr>
                    <m:t>VeR</m:t>
                  </m:r>
                </m:e>
                <m:sub>
                  <m:r>
                    <w:rPr>
                      <w:rFonts w:ascii="Cambria Math" w:eastAsia="Times New Roman" w:hAnsi="Cambria Math" w:cs="Arial"/>
                      <w:spacing w:val="20"/>
                      <w:sz w:val="20"/>
                      <w:szCs w:val="20"/>
                      <w:lang w:val="es-ES" w:eastAsia="es-ES"/>
                    </w:rPr>
                    <m:t>individual</m:t>
                  </m:r>
                </m:sub>
              </m:sSub>
              <m:r>
                <w:rPr>
                  <w:rFonts w:ascii="Cambria Math" w:eastAsia="Times New Roman" w:hAnsi="Cambria Math" w:cs="Arial"/>
                  <w:spacing w:val="20"/>
                  <w:sz w:val="20"/>
                  <w:szCs w:val="20"/>
                  <w:lang w:val="es-ES" w:eastAsia="es-ES"/>
                </w:rPr>
                <m:t>*ρ*</m:t>
              </m:r>
              <m:sSub>
                <m:sSubPr>
                  <m:ctrlPr>
                    <w:rPr>
                      <w:rFonts w:ascii="Cambria Math" w:eastAsia="Times New Roman" w:hAnsi="Cambria Math" w:cs="Arial"/>
                      <w:i/>
                      <w:spacing w:val="20"/>
                      <w:sz w:val="20"/>
                      <w:szCs w:val="20"/>
                      <w:lang w:val="es-ES" w:eastAsia="es-ES"/>
                    </w:rPr>
                  </m:ctrlPr>
                </m:sSubPr>
                <m:e>
                  <m:r>
                    <w:rPr>
                      <w:rFonts w:ascii="Cambria Math" w:eastAsia="Times New Roman" w:hAnsi="Cambria Math" w:cs="Arial"/>
                      <w:spacing w:val="20"/>
                      <w:sz w:val="20"/>
                      <w:szCs w:val="20"/>
                      <w:lang w:val="es-ES" w:eastAsia="es-ES"/>
                    </w:rPr>
                    <m:t>VeR´</m:t>
                  </m:r>
                </m:e>
                <m:sub>
                  <m:r>
                    <w:rPr>
                      <w:rFonts w:ascii="Cambria Math" w:eastAsia="Times New Roman" w:hAnsi="Cambria Math" w:cs="Arial"/>
                      <w:spacing w:val="20"/>
                      <w:sz w:val="20"/>
                      <w:szCs w:val="20"/>
                      <w:lang w:val="es-ES" w:eastAsia="es-ES"/>
                    </w:rPr>
                    <m:t>individual</m:t>
                  </m:r>
                </m:sub>
              </m:sSub>
            </m:e>
          </m:rad>
        </m:oMath>
      </m:oMathPara>
    </w:p>
    <w:p w14:paraId="41F60F1D" w14:textId="77777777" w:rsidR="00DC17E7" w:rsidRPr="00653E80" w:rsidRDefault="00DC17E7" w:rsidP="00DC17E7">
      <w:pPr>
        <w:tabs>
          <w:tab w:val="right" w:pos="8504"/>
        </w:tabs>
        <w:spacing w:after="0" w:line="240" w:lineRule="auto"/>
        <w:jc w:val="both"/>
        <w:rPr>
          <w:rFonts w:ascii="Verdana" w:eastAsia="Times New Roman" w:hAnsi="Verdana" w:cs="Arial"/>
          <w:bCs/>
          <w:sz w:val="20"/>
          <w:szCs w:val="20"/>
          <w:lang w:val="es-MX" w:eastAsia="es-ES"/>
        </w:rPr>
      </w:pPr>
    </w:p>
    <w:p w14:paraId="17AEB543" w14:textId="77777777" w:rsidR="00DC17E7" w:rsidRPr="00653E80" w:rsidRDefault="00DC17E7" w:rsidP="00DC17E7">
      <w:pPr>
        <w:tabs>
          <w:tab w:val="right" w:pos="8504"/>
        </w:tabs>
        <w:spacing w:after="0" w:line="240" w:lineRule="auto"/>
        <w:jc w:val="both"/>
        <w:rPr>
          <w:rFonts w:ascii="Verdana" w:eastAsia="Times New Roman" w:hAnsi="Verdana" w:cs="Arial"/>
          <w:bCs/>
          <w:sz w:val="20"/>
          <w:szCs w:val="20"/>
          <w:lang w:val="es-MX" w:eastAsia="es-ES"/>
        </w:rPr>
      </w:pPr>
      <w:r w:rsidRPr="00653E80">
        <w:rPr>
          <w:rFonts w:ascii="Verdana" w:eastAsia="Times New Roman" w:hAnsi="Verdana" w:cs="Arial"/>
          <w:bCs/>
          <w:sz w:val="20"/>
          <w:szCs w:val="20"/>
          <w:lang w:val="es-MX" w:eastAsia="es-ES"/>
        </w:rPr>
        <w:t>Donde:</w:t>
      </w:r>
    </w:p>
    <w:p w14:paraId="246C8A22" w14:textId="77777777" w:rsidR="00DC17E7" w:rsidRPr="00653E80" w:rsidRDefault="00DC17E7" w:rsidP="00DC17E7">
      <w:pPr>
        <w:tabs>
          <w:tab w:val="right" w:pos="8504"/>
        </w:tabs>
        <w:spacing w:after="0" w:line="240" w:lineRule="auto"/>
        <w:jc w:val="both"/>
        <w:rPr>
          <w:rFonts w:ascii="Verdana" w:eastAsia="Times New Roman" w:hAnsi="Verdana" w:cs="Arial"/>
          <w:bCs/>
          <w:sz w:val="20"/>
          <w:szCs w:val="20"/>
          <w:lang w:val="es-MX" w:eastAsia="es-ES"/>
        </w:rPr>
      </w:pPr>
    </w:p>
    <w:p w14:paraId="72FBF611" w14:textId="371C5865" w:rsidR="00DC17E7" w:rsidRPr="00653E80" w:rsidRDefault="00CA09BB" w:rsidP="00DC17E7">
      <w:pPr>
        <w:tabs>
          <w:tab w:val="right" w:pos="8504"/>
        </w:tabs>
        <w:spacing w:after="0" w:line="240" w:lineRule="auto"/>
        <w:jc w:val="both"/>
        <w:rPr>
          <w:rFonts w:ascii="Verdana" w:eastAsia="Times New Roman" w:hAnsi="Verdana" w:cs="Arial"/>
          <w:bCs/>
          <w:sz w:val="20"/>
          <w:szCs w:val="20"/>
          <w:lang w:val="es-MX" w:eastAsia="es-ES"/>
        </w:rPr>
      </w:pPr>
      <m:oMath>
        <m:r>
          <w:rPr>
            <w:rFonts w:ascii="Cambria Math" w:eastAsia="Times New Roman" w:hAnsi="Cambria Math" w:cs="Arial"/>
            <w:spacing w:val="20"/>
            <w:sz w:val="20"/>
            <w:szCs w:val="20"/>
            <w:lang w:val="es-ES" w:eastAsia="es-ES"/>
          </w:rPr>
          <m:t>VeR</m:t>
        </m:r>
      </m:oMath>
      <w:r w:rsidR="00DC17E7" w:rsidRPr="00653E80">
        <w:rPr>
          <w:rFonts w:ascii="Verdana" w:eastAsia="Times New Roman" w:hAnsi="Verdana" w:cs="Arial"/>
          <w:bCs/>
          <w:sz w:val="20"/>
          <w:szCs w:val="20"/>
          <w:lang w:val="es-MX" w:eastAsia="es-ES"/>
        </w:rPr>
        <w:t xml:space="preserve">: </w:t>
      </w:r>
      <w:r>
        <w:rPr>
          <w:rFonts w:ascii="Verdana" w:eastAsia="Times New Roman" w:hAnsi="Verdana" w:cs="Arial"/>
          <w:bCs/>
          <w:sz w:val="20"/>
          <w:szCs w:val="20"/>
          <w:lang w:val="es-MX" w:eastAsia="es-ES"/>
        </w:rPr>
        <w:t>es el v</w:t>
      </w:r>
      <w:r w:rsidR="00DC17E7" w:rsidRPr="00653E80">
        <w:rPr>
          <w:rFonts w:ascii="Verdana" w:eastAsia="Times New Roman" w:hAnsi="Verdana" w:cs="Arial"/>
          <w:bCs/>
          <w:sz w:val="20"/>
          <w:szCs w:val="20"/>
          <w:lang w:val="es-MX" w:eastAsia="es-ES"/>
        </w:rPr>
        <w:t>alor en riesgo diversificado del portafolio.</w:t>
      </w:r>
    </w:p>
    <w:p w14:paraId="33428948" w14:textId="77777777" w:rsidR="00CA09BB" w:rsidRDefault="00CA09BB" w:rsidP="00DC17E7">
      <w:pPr>
        <w:tabs>
          <w:tab w:val="right" w:pos="8504"/>
        </w:tabs>
        <w:spacing w:after="0" w:line="240" w:lineRule="auto"/>
        <w:jc w:val="both"/>
        <w:rPr>
          <w:rFonts w:ascii="Verdana" w:eastAsia="Times New Roman" w:hAnsi="Verdana" w:cs="Arial"/>
          <w:bCs/>
          <w:sz w:val="20"/>
          <w:szCs w:val="20"/>
          <w:lang w:val="es-MX" w:eastAsia="es-ES"/>
        </w:rPr>
      </w:pPr>
    </w:p>
    <w:p w14:paraId="471BE176" w14:textId="267A58CB" w:rsidR="00DC17E7" w:rsidRPr="00653E80" w:rsidRDefault="00D556B2" w:rsidP="00DC17E7">
      <w:pPr>
        <w:tabs>
          <w:tab w:val="right" w:pos="8504"/>
        </w:tabs>
        <w:spacing w:after="0" w:line="240" w:lineRule="auto"/>
        <w:jc w:val="both"/>
        <w:rPr>
          <w:rFonts w:ascii="Verdana" w:eastAsia="Times New Roman" w:hAnsi="Verdana" w:cs="Arial"/>
          <w:bCs/>
          <w:sz w:val="20"/>
          <w:szCs w:val="20"/>
          <w:lang w:val="es-MX" w:eastAsia="es-ES"/>
        </w:rPr>
      </w:pPr>
      <m:oMath>
        <m:sSub>
          <m:sSubPr>
            <m:ctrlPr>
              <w:rPr>
                <w:rFonts w:ascii="Cambria Math" w:eastAsia="Times New Roman" w:hAnsi="Cambria Math" w:cs="Arial"/>
                <w:i/>
                <w:spacing w:val="20"/>
                <w:sz w:val="20"/>
                <w:szCs w:val="20"/>
                <w:lang w:val="es-ES" w:eastAsia="es-ES"/>
              </w:rPr>
            </m:ctrlPr>
          </m:sSubPr>
          <m:e>
            <m:r>
              <w:rPr>
                <w:rFonts w:ascii="Cambria Math" w:eastAsia="Times New Roman" w:hAnsi="Cambria Math" w:cs="Arial"/>
                <w:spacing w:val="20"/>
                <w:sz w:val="20"/>
                <w:szCs w:val="20"/>
                <w:lang w:val="es-ES" w:eastAsia="es-ES"/>
              </w:rPr>
              <m:t>VeR</m:t>
            </m:r>
          </m:e>
          <m:sub>
            <m:r>
              <w:rPr>
                <w:rFonts w:ascii="Cambria Math" w:eastAsia="Times New Roman" w:hAnsi="Cambria Math" w:cs="Arial"/>
                <w:spacing w:val="20"/>
                <w:sz w:val="20"/>
                <w:szCs w:val="20"/>
                <w:lang w:val="es-ES" w:eastAsia="es-ES"/>
              </w:rPr>
              <m:t>individual</m:t>
            </m:r>
          </m:sub>
        </m:sSub>
      </m:oMath>
      <w:r w:rsidR="00DC17E7" w:rsidRPr="00653E80">
        <w:rPr>
          <w:rFonts w:ascii="Verdana" w:eastAsia="Times New Roman" w:hAnsi="Verdana" w:cs="Arial"/>
          <w:bCs/>
          <w:sz w:val="20"/>
          <w:szCs w:val="20"/>
          <w:lang w:val="es-MX" w:eastAsia="es-ES"/>
        </w:rPr>
        <w:t xml:space="preserve">: </w:t>
      </w:r>
      <w:r w:rsidR="00CA09BB">
        <w:rPr>
          <w:rFonts w:ascii="Verdana" w:eastAsia="Times New Roman" w:hAnsi="Verdana" w:cs="Arial"/>
          <w:bCs/>
          <w:sz w:val="20"/>
          <w:szCs w:val="20"/>
          <w:lang w:val="es-MX" w:eastAsia="es-ES"/>
        </w:rPr>
        <w:t>es el v</w:t>
      </w:r>
      <w:r w:rsidR="00DC17E7" w:rsidRPr="00653E80">
        <w:rPr>
          <w:rFonts w:ascii="Verdana" w:eastAsia="Times New Roman" w:hAnsi="Verdana" w:cs="Arial"/>
          <w:bCs/>
          <w:sz w:val="20"/>
          <w:szCs w:val="20"/>
          <w:lang w:val="es-MX" w:eastAsia="es-ES"/>
        </w:rPr>
        <w:t>ector de valores en riesgo por cada factor.</w:t>
      </w:r>
    </w:p>
    <w:p w14:paraId="095B4C80" w14:textId="77777777" w:rsidR="00CA09BB" w:rsidRDefault="00CA09BB" w:rsidP="00DC17E7">
      <w:pPr>
        <w:spacing w:after="0" w:line="240" w:lineRule="auto"/>
        <w:jc w:val="both"/>
        <w:rPr>
          <w:rFonts w:ascii="Verdana" w:eastAsia="Times New Roman" w:hAnsi="Verdana" w:cs="Arial"/>
          <w:bCs/>
          <w:noProof/>
          <w:sz w:val="20"/>
          <w:szCs w:val="20"/>
          <w:lang w:val="es-MX" w:eastAsia="es-ES"/>
        </w:rPr>
      </w:pPr>
    </w:p>
    <w:p w14:paraId="13A54C4E" w14:textId="6E72B106" w:rsidR="00DC17E7" w:rsidRDefault="00CA09BB" w:rsidP="00DC17E7">
      <w:pPr>
        <w:spacing w:after="0" w:line="240" w:lineRule="auto"/>
        <w:jc w:val="both"/>
        <w:rPr>
          <w:rFonts w:ascii="Verdana" w:eastAsia="Times New Roman" w:hAnsi="Verdana" w:cs="Arial"/>
          <w:bCs/>
          <w:sz w:val="20"/>
          <w:szCs w:val="20"/>
          <w:lang w:val="es-MX" w:eastAsia="es-ES"/>
        </w:rPr>
      </w:pPr>
      <m:oMath>
        <m:r>
          <w:rPr>
            <w:rFonts w:ascii="Cambria Math" w:eastAsia="Times New Roman" w:hAnsi="Cambria Math" w:cs="Arial"/>
            <w:spacing w:val="20"/>
            <w:sz w:val="20"/>
            <w:szCs w:val="20"/>
            <w:lang w:val="es-ES" w:eastAsia="es-ES"/>
          </w:rPr>
          <m:t>ρ</m:t>
        </m:r>
      </m:oMath>
      <w:r w:rsidR="00DC17E7" w:rsidRPr="00653E80">
        <w:rPr>
          <w:rFonts w:ascii="Verdana" w:eastAsia="Times New Roman" w:hAnsi="Verdana" w:cs="Arial"/>
          <w:bCs/>
          <w:sz w:val="20"/>
          <w:szCs w:val="20"/>
          <w:lang w:val="es-MX" w:eastAsia="es-ES"/>
        </w:rPr>
        <w:t xml:space="preserve">: </w:t>
      </w:r>
      <w:r>
        <w:rPr>
          <w:rFonts w:ascii="Verdana" w:eastAsia="Times New Roman" w:hAnsi="Verdana" w:cs="Arial"/>
          <w:bCs/>
          <w:sz w:val="20"/>
          <w:szCs w:val="20"/>
          <w:lang w:val="es-MX" w:eastAsia="es-ES"/>
        </w:rPr>
        <w:t>es la m</w:t>
      </w:r>
      <w:r w:rsidR="00DC17E7" w:rsidRPr="00653E80">
        <w:rPr>
          <w:rFonts w:ascii="Verdana" w:eastAsia="Times New Roman" w:hAnsi="Verdana" w:cs="Arial"/>
          <w:bCs/>
          <w:sz w:val="20"/>
          <w:szCs w:val="20"/>
          <w:lang w:val="es-MX" w:eastAsia="es-ES"/>
        </w:rPr>
        <w:t xml:space="preserve">atriz de </w:t>
      </w:r>
      <w:r w:rsidR="00217FC8">
        <w:rPr>
          <w:rFonts w:ascii="Verdana" w:eastAsia="Times New Roman" w:hAnsi="Verdana" w:cs="Arial"/>
          <w:bCs/>
          <w:sz w:val="20"/>
          <w:szCs w:val="20"/>
          <w:lang w:val="es-MX" w:eastAsia="es-ES"/>
        </w:rPr>
        <w:t>c</w:t>
      </w:r>
      <w:r w:rsidR="00DC17E7" w:rsidRPr="00653E80">
        <w:rPr>
          <w:rFonts w:ascii="Verdana" w:eastAsia="Times New Roman" w:hAnsi="Verdana" w:cs="Arial"/>
          <w:bCs/>
          <w:sz w:val="20"/>
          <w:szCs w:val="20"/>
          <w:lang w:val="es-MX" w:eastAsia="es-ES"/>
        </w:rPr>
        <w:t>orrelación de los factores</w:t>
      </w:r>
      <w:r w:rsidR="00217FC8">
        <w:rPr>
          <w:rFonts w:ascii="Verdana" w:eastAsia="Times New Roman" w:hAnsi="Verdana" w:cs="Arial"/>
          <w:bCs/>
          <w:sz w:val="20"/>
          <w:szCs w:val="20"/>
          <w:lang w:val="es-MX" w:eastAsia="es-ES"/>
        </w:rPr>
        <w:t>.</w:t>
      </w:r>
    </w:p>
    <w:p w14:paraId="75E423DC" w14:textId="77777777" w:rsidR="00187A95" w:rsidRDefault="00187A95" w:rsidP="00DC17E7">
      <w:pPr>
        <w:spacing w:after="0" w:line="240" w:lineRule="auto"/>
        <w:jc w:val="both"/>
        <w:rPr>
          <w:rFonts w:ascii="Verdana" w:eastAsia="Times New Roman" w:hAnsi="Verdana" w:cs="Arial"/>
          <w:bCs/>
          <w:sz w:val="20"/>
          <w:szCs w:val="20"/>
          <w:lang w:val="es-MX" w:eastAsia="es-ES"/>
        </w:rPr>
      </w:pPr>
    </w:p>
    <w:p w14:paraId="694791FA" w14:textId="49F364AF" w:rsidR="00DC17E7" w:rsidRPr="008D6E8F" w:rsidRDefault="00DC17E7" w:rsidP="008D6E8F">
      <w:pPr>
        <w:pStyle w:val="Prrafodelista"/>
        <w:numPr>
          <w:ilvl w:val="0"/>
          <w:numId w:val="39"/>
        </w:numPr>
        <w:spacing w:after="0" w:line="240" w:lineRule="auto"/>
        <w:ind w:left="284" w:hanging="284"/>
        <w:jc w:val="both"/>
        <w:rPr>
          <w:rFonts w:ascii="Verdana" w:eastAsia="Times New Roman" w:hAnsi="Verdana" w:cs="Arial"/>
          <w:b/>
          <w:sz w:val="20"/>
          <w:szCs w:val="20"/>
          <w:lang w:val="es-MX" w:eastAsia="es-ES"/>
        </w:rPr>
      </w:pPr>
      <w:r w:rsidRPr="008D6E8F">
        <w:rPr>
          <w:rFonts w:ascii="Verdana" w:eastAsia="Times New Roman" w:hAnsi="Verdana" w:cs="Arial"/>
          <w:b/>
          <w:sz w:val="20"/>
          <w:szCs w:val="20"/>
          <w:lang w:val="es-MX" w:eastAsia="es-ES"/>
        </w:rPr>
        <w:t>Cargos adicionales por posiciones en opciones</w:t>
      </w:r>
    </w:p>
    <w:p w14:paraId="79B812F0" w14:textId="77777777" w:rsidR="00DC17E7" w:rsidRPr="00653E80" w:rsidRDefault="00DC17E7" w:rsidP="00DC17E7">
      <w:pPr>
        <w:spacing w:after="0" w:line="240" w:lineRule="auto"/>
        <w:jc w:val="both"/>
        <w:rPr>
          <w:rFonts w:ascii="Verdana" w:eastAsia="Times New Roman" w:hAnsi="Verdana" w:cs="Arial"/>
          <w:b/>
          <w:bCs/>
          <w:sz w:val="20"/>
          <w:szCs w:val="20"/>
          <w:lang w:val="es-MX" w:eastAsia="es-ES"/>
        </w:rPr>
      </w:pPr>
    </w:p>
    <w:p w14:paraId="25BB6957" w14:textId="2CDA5DF6"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85</w:t>
      </w:r>
      <w:r w:rsidRPr="000E0B7B">
        <w:rPr>
          <w:rFonts w:ascii="Verdana" w:hAnsi="Verdana"/>
          <w:sz w:val="20"/>
          <w:szCs w:val="20"/>
        </w:rPr>
        <w:t>.</w:t>
      </w:r>
    </w:p>
    <w:p w14:paraId="21C4F4AA" w14:textId="65A1FC9D" w:rsidR="00DC17E7" w:rsidRPr="00653E80" w:rsidRDefault="00DC17E7" w:rsidP="00DC17E7">
      <w:pPr>
        <w:spacing w:after="0" w:line="240" w:lineRule="auto"/>
        <w:jc w:val="both"/>
        <w:rPr>
          <w:rFonts w:ascii="Verdana" w:eastAsia="Times New Roman" w:hAnsi="Verdana" w:cs="Arial"/>
          <w:bCs/>
          <w:sz w:val="20"/>
          <w:szCs w:val="20"/>
          <w:lang w:val="es-MX" w:eastAsia="es-ES"/>
        </w:rPr>
      </w:pPr>
      <w:r w:rsidRPr="00653E80">
        <w:rPr>
          <w:rFonts w:ascii="Verdana" w:eastAsia="Times New Roman" w:hAnsi="Verdana" w:cs="Arial"/>
          <w:bCs/>
          <w:sz w:val="20"/>
          <w:szCs w:val="20"/>
          <w:lang w:val="es-MX" w:eastAsia="es-ES"/>
        </w:rPr>
        <w:t>Los cargos gamma y vega calculad</w:t>
      </w:r>
      <w:r w:rsidRPr="0042132E">
        <w:rPr>
          <w:rFonts w:ascii="Verdana" w:eastAsia="Times New Roman" w:hAnsi="Verdana" w:cs="Arial"/>
          <w:bCs/>
          <w:sz w:val="20"/>
          <w:szCs w:val="20"/>
          <w:lang w:val="es-MX" w:eastAsia="es-ES"/>
        </w:rPr>
        <w:t>os según lo dispuesto en</w:t>
      </w:r>
      <w:r w:rsidR="000C3943" w:rsidRPr="0042132E">
        <w:rPr>
          <w:rFonts w:ascii="Verdana" w:eastAsia="Times New Roman" w:hAnsi="Verdana" w:cs="Arial"/>
          <w:bCs/>
          <w:sz w:val="20"/>
          <w:szCs w:val="20"/>
          <w:lang w:val="es-MX" w:eastAsia="es-ES"/>
        </w:rPr>
        <w:t>tre los párrafos 1.1.A7</w:t>
      </w:r>
      <w:r w:rsidR="0042132E" w:rsidRPr="0042132E">
        <w:rPr>
          <w:rFonts w:ascii="Verdana" w:eastAsia="Times New Roman" w:hAnsi="Verdana" w:cs="Arial"/>
          <w:bCs/>
          <w:sz w:val="20"/>
          <w:szCs w:val="20"/>
          <w:lang w:val="es-MX" w:eastAsia="es-ES"/>
        </w:rPr>
        <w:t>.8</w:t>
      </w:r>
      <w:r w:rsidR="0024615B">
        <w:rPr>
          <w:rFonts w:ascii="Verdana" w:eastAsia="Times New Roman" w:hAnsi="Verdana" w:cs="Arial"/>
          <w:bCs/>
          <w:sz w:val="20"/>
          <w:szCs w:val="20"/>
          <w:lang w:val="es-MX" w:eastAsia="es-ES"/>
        </w:rPr>
        <w:t>6</w:t>
      </w:r>
      <w:r w:rsidR="0042132E" w:rsidRPr="0042132E">
        <w:rPr>
          <w:rFonts w:ascii="Verdana" w:eastAsia="Times New Roman" w:hAnsi="Verdana" w:cs="Arial"/>
          <w:bCs/>
          <w:sz w:val="20"/>
          <w:szCs w:val="20"/>
          <w:lang w:val="es-MX" w:eastAsia="es-ES"/>
        </w:rPr>
        <w:t>. y 1.1.A7.9</w:t>
      </w:r>
      <w:r w:rsidR="0024615B">
        <w:rPr>
          <w:rFonts w:ascii="Verdana" w:eastAsia="Times New Roman" w:hAnsi="Verdana" w:cs="Arial"/>
          <w:bCs/>
          <w:sz w:val="20"/>
          <w:szCs w:val="20"/>
          <w:lang w:val="es-MX" w:eastAsia="es-ES"/>
        </w:rPr>
        <w:t>1</w:t>
      </w:r>
      <w:r w:rsidR="0042132E" w:rsidRPr="0042132E">
        <w:rPr>
          <w:rFonts w:ascii="Verdana" w:eastAsia="Times New Roman" w:hAnsi="Verdana" w:cs="Arial"/>
          <w:bCs/>
          <w:sz w:val="20"/>
          <w:szCs w:val="20"/>
          <w:lang w:val="es-MX" w:eastAsia="es-ES"/>
        </w:rPr>
        <w:t xml:space="preserve">. </w:t>
      </w:r>
      <w:r w:rsidRPr="0042132E">
        <w:rPr>
          <w:rFonts w:ascii="Verdana" w:eastAsia="Times New Roman" w:hAnsi="Verdana" w:cs="Arial"/>
          <w:bCs/>
          <w:sz w:val="20"/>
          <w:szCs w:val="20"/>
          <w:lang w:val="es-MX" w:eastAsia="es-ES"/>
        </w:rPr>
        <w:t>del presente Anexo, deben adicionarse al valor en riesgo diversificado de forma aritmética como choques</w:t>
      </w:r>
      <w:r w:rsidRPr="00653E80">
        <w:rPr>
          <w:rFonts w:ascii="Verdana" w:eastAsia="Times New Roman" w:hAnsi="Verdana" w:cs="Arial"/>
          <w:bCs/>
          <w:sz w:val="20"/>
          <w:szCs w:val="20"/>
          <w:lang w:val="es-MX" w:eastAsia="es-ES"/>
        </w:rPr>
        <w:t xml:space="preserve"> adicionales.</w:t>
      </w:r>
    </w:p>
    <w:p w14:paraId="1BEAF13B" w14:textId="77777777" w:rsidR="00DC17E7" w:rsidRPr="00653E80" w:rsidRDefault="00DC17E7" w:rsidP="00DC17E7">
      <w:pPr>
        <w:spacing w:after="0" w:line="240" w:lineRule="auto"/>
        <w:jc w:val="both"/>
        <w:rPr>
          <w:rFonts w:ascii="Verdana" w:eastAsia="Times New Roman" w:hAnsi="Verdana" w:cs="Arial"/>
          <w:bCs/>
          <w:sz w:val="20"/>
          <w:szCs w:val="20"/>
          <w:lang w:val="es-MX" w:eastAsia="es-ES"/>
        </w:rPr>
      </w:pPr>
    </w:p>
    <w:p w14:paraId="1F352540" w14:textId="77777777"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r w:rsidRPr="00653E80">
        <w:rPr>
          <w:rFonts w:ascii="Verdana" w:eastAsia="Times New Roman" w:hAnsi="Verdana" w:cs="Arial"/>
          <w:b/>
          <w:sz w:val="20"/>
          <w:szCs w:val="20"/>
          <w:lang w:val="es-ES" w:eastAsia="es-ES"/>
        </w:rPr>
        <w:t>Tratamiento de las posiciones en opciones</w:t>
      </w:r>
    </w:p>
    <w:p w14:paraId="54E2C04C" w14:textId="77777777" w:rsidR="00DC17E7" w:rsidRDefault="00DC17E7" w:rsidP="00DC17E7">
      <w:pPr>
        <w:spacing w:after="0" w:line="240" w:lineRule="auto"/>
        <w:jc w:val="both"/>
        <w:rPr>
          <w:rFonts w:ascii="Verdana" w:eastAsia="Times New Roman" w:hAnsi="Verdana" w:cs="Arial"/>
          <w:bCs/>
          <w:sz w:val="20"/>
          <w:szCs w:val="20"/>
          <w:lang w:val="es-MX" w:eastAsia="es-ES"/>
        </w:rPr>
      </w:pPr>
    </w:p>
    <w:p w14:paraId="19F7F85B" w14:textId="6696B983"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86</w:t>
      </w:r>
      <w:r w:rsidRPr="000E0B7B">
        <w:rPr>
          <w:rFonts w:ascii="Verdana" w:hAnsi="Verdana"/>
          <w:sz w:val="20"/>
          <w:szCs w:val="20"/>
        </w:rPr>
        <w:t>.</w:t>
      </w:r>
    </w:p>
    <w:p w14:paraId="58FF7F3E"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Para el cálculo del valor en riesgo por posiciones en opciones, se deben utilizar los factores de sensibilidad (“</w:t>
      </w:r>
      <w:proofErr w:type="gramStart"/>
      <w:r w:rsidRPr="00653E80">
        <w:rPr>
          <w:rFonts w:ascii="Verdana" w:eastAsia="Times New Roman" w:hAnsi="Verdana" w:cs="Arial"/>
          <w:i/>
          <w:iCs/>
          <w:sz w:val="20"/>
          <w:szCs w:val="20"/>
          <w:lang w:val="es-MX" w:eastAsia="es-ES"/>
        </w:rPr>
        <w:t>Griegas</w:t>
      </w:r>
      <w:proofErr w:type="gramEnd"/>
      <w:r w:rsidRPr="00653E80">
        <w:rPr>
          <w:rFonts w:ascii="Verdana" w:eastAsia="Times New Roman" w:hAnsi="Verdana" w:cs="Arial"/>
          <w:sz w:val="20"/>
          <w:szCs w:val="20"/>
          <w:lang w:val="es-MX" w:eastAsia="es-ES"/>
        </w:rPr>
        <w:t xml:space="preserve">”) </w:t>
      </w:r>
      <w:r w:rsidRPr="00653E80">
        <w:rPr>
          <w:rFonts w:ascii="Verdana" w:eastAsia="Times New Roman" w:hAnsi="Verdana" w:cs="Arial"/>
          <w:i/>
          <w:iCs/>
          <w:sz w:val="20"/>
          <w:szCs w:val="20"/>
          <w:lang w:val="es-MX" w:eastAsia="es-ES"/>
        </w:rPr>
        <w:t xml:space="preserve">delta, gamma </w:t>
      </w:r>
      <w:r w:rsidRPr="00653E80">
        <w:rPr>
          <w:rFonts w:ascii="Verdana" w:eastAsia="Times New Roman" w:hAnsi="Verdana" w:cs="Arial"/>
          <w:sz w:val="20"/>
          <w:szCs w:val="20"/>
          <w:lang w:val="es-MX" w:eastAsia="es-ES"/>
        </w:rPr>
        <w:t>y</w:t>
      </w:r>
      <w:r w:rsidRPr="00653E80">
        <w:rPr>
          <w:rFonts w:ascii="Verdana" w:eastAsia="Times New Roman" w:hAnsi="Verdana" w:cs="Arial"/>
          <w:i/>
          <w:iCs/>
          <w:sz w:val="20"/>
          <w:szCs w:val="20"/>
          <w:lang w:val="es-MX" w:eastAsia="es-ES"/>
        </w:rPr>
        <w:t xml:space="preserve"> vega</w:t>
      </w:r>
      <w:r w:rsidRPr="00653E80">
        <w:rPr>
          <w:rFonts w:ascii="Verdana" w:eastAsia="Times New Roman" w:hAnsi="Verdana" w:cs="Arial"/>
          <w:sz w:val="20"/>
          <w:szCs w:val="20"/>
          <w:lang w:val="es-MX" w:eastAsia="es-ES"/>
        </w:rPr>
        <w:t xml:space="preserve"> </w:t>
      </w:r>
      <w:proofErr w:type="gramStart"/>
      <w:r w:rsidRPr="00653E80">
        <w:rPr>
          <w:rFonts w:ascii="Verdana" w:eastAsia="Times New Roman" w:hAnsi="Verdana" w:cs="Arial"/>
          <w:sz w:val="20"/>
          <w:szCs w:val="20"/>
          <w:lang w:val="es-MX" w:eastAsia="es-ES"/>
        </w:rPr>
        <w:t>de acuerdo a</w:t>
      </w:r>
      <w:proofErr w:type="gramEnd"/>
      <w:r w:rsidRPr="00653E80">
        <w:rPr>
          <w:rFonts w:ascii="Verdana" w:eastAsia="Times New Roman" w:hAnsi="Verdana" w:cs="Arial"/>
          <w:sz w:val="20"/>
          <w:szCs w:val="20"/>
          <w:lang w:val="es-MX" w:eastAsia="es-ES"/>
        </w:rPr>
        <w:t xml:space="preserve"> lo estipulado en los siguientes incisos:</w:t>
      </w:r>
    </w:p>
    <w:p w14:paraId="5CC1529A" w14:textId="77777777" w:rsidR="00DC17E7" w:rsidRPr="00653E80" w:rsidRDefault="00DC17E7" w:rsidP="00DC17E7">
      <w:pPr>
        <w:spacing w:after="0" w:line="240" w:lineRule="auto"/>
        <w:jc w:val="both"/>
        <w:rPr>
          <w:rFonts w:ascii="Verdana" w:eastAsia="Times New Roman" w:hAnsi="Verdana" w:cs="Arial"/>
          <w:sz w:val="20"/>
          <w:szCs w:val="20"/>
          <w:lang w:val="es-MX" w:eastAsia="es-ES"/>
        </w:rPr>
      </w:pPr>
    </w:p>
    <w:p w14:paraId="1D20C47B" w14:textId="77777777" w:rsidR="009D4364" w:rsidRPr="00B139D7" w:rsidRDefault="00DC17E7" w:rsidP="00B139D7">
      <w:pPr>
        <w:pStyle w:val="Prrafodelista"/>
        <w:numPr>
          <w:ilvl w:val="0"/>
          <w:numId w:val="39"/>
        </w:numPr>
        <w:spacing w:after="0" w:line="240" w:lineRule="auto"/>
        <w:ind w:left="284" w:hanging="295"/>
        <w:jc w:val="both"/>
        <w:rPr>
          <w:rFonts w:ascii="Verdana" w:eastAsia="Times New Roman" w:hAnsi="Verdana" w:cs="Arial"/>
          <w:b/>
          <w:bCs/>
          <w:sz w:val="20"/>
          <w:szCs w:val="20"/>
          <w:lang w:val="es-MX" w:eastAsia="es-ES"/>
        </w:rPr>
      </w:pPr>
      <w:r w:rsidRPr="00B139D7">
        <w:rPr>
          <w:rFonts w:ascii="Verdana" w:eastAsia="Times New Roman" w:hAnsi="Verdana" w:cs="Arial"/>
          <w:b/>
          <w:bCs/>
          <w:sz w:val="20"/>
          <w:szCs w:val="20"/>
          <w:lang w:val="es-MX" w:eastAsia="es-ES"/>
        </w:rPr>
        <w:t xml:space="preserve">Posición delta ponderada </w:t>
      </w:r>
    </w:p>
    <w:p w14:paraId="628855C9" w14:textId="77777777" w:rsidR="009D4364" w:rsidRDefault="009D4364" w:rsidP="009D4364">
      <w:pPr>
        <w:spacing w:after="0" w:line="240" w:lineRule="auto"/>
        <w:jc w:val="both"/>
        <w:rPr>
          <w:rFonts w:ascii="Verdana" w:eastAsia="Times New Roman" w:hAnsi="Verdana" w:cs="Arial"/>
          <w:sz w:val="20"/>
          <w:szCs w:val="20"/>
          <w:lang w:val="es-MX" w:eastAsia="es-ES"/>
        </w:rPr>
      </w:pPr>
    </w:p>
    <w:p w14:paraId="11A808B3" w14:textId="071D6EDF" w:rsidR="009D4364" w:rsidRPr="000E0B7B" w:rsidRDefault="009D4364" w:rsidP="009D436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9566D3">
        <w:rPr>
          <w:rFonts w:ascii="Verdana" w:hAnsi="Verdana"/>
          <w:sz w:val="20"/>
          <w:szCs w:val="20"/>
        </w:rPr>
        <w:t>87</w:t>
      </w:r>
      <w:r w:rsidRPr="000E0B7B">
        <w:rPr>
          <w:rFonts w:ascii="Verdana" w:hAnsi="Verdana"/>
          <w:sz w:val="20"/>
          <w:szCs w:val="20"/>
        </w:rPr>
        <w:t>.</w:t>
      </w:r>
    </w:p>
    <w:p w14:paraId="7F8AB90E" w14:textId="79616CE8" w:rsidR="00DC17E7" w:rsidRPr="00A126F1" w:rsidRDefault="00DC17E7" w:rsidP="009D4364">
      <w:pPr>
        <w:spacing w:after="0" w:line="240" w:lineRule="auto"/>
        <w:jc w:val="both"/>
        <w:rPr>
          <w:rFonts w:ascii="Verdana" w:eastAsia="Times New Roman" w:hAnsi="Verdana" w:cs="Arial"/>
          <w:sz w:val="20"/>
          <w:szCs w:val="20"/>
          <w:lang w:val="es-MX" w:eastAsia="es-ES"/>
        </w:rPr>
      </w:pPr>
      <w:r w:rsidRPr="00A126F1">
        <w:rPr>
          <w:rFonts w:ascii="Verdana" w:eastAsia="Times New Roman" w:hAnsi="Verdana" w:cs="Arial"/>
          <w:sz w:val="20"/>
          <w:szCs w:val="20"/>
          <w:lang w:val="es-MX" w:eastAsia="es-ES"/>
        </w:rPr>
        <w:t xml:space="preserve">La posición delta ponderada </w:t>
      </w:r>
      <w:r w:rsidRPr="00107A94">
        <w:rPr>
          <w:rFonts w:ascii="Verdana" w:eastAsia="Times New Roman" w:hAnsi="Verdana" w:cs="Arial"/>
          <w:sz w:val="20"/>
          <w:szCs w:val="20"/>
          <w:lang w:val="es-MX" w:eastAsia="es-ES"/>
        </w:rPr>
        <w:t>de las opciones está sujeta a los factores de riesgo descritos en</w:t>
      </w:r>
      <w:r w:rsidR="00107A94" w:rsidRPr="00107A94">
        <w:rPr>
          <w:rFonts w:ascii="Verdana" w:eastAsia="Times New Roman" w:hAnsi="Verdana" w:cs="Arial"/>
          <w:sz w:val="20"/>
          <w:szCs w:val="20"/>
          <w:lang w:val="es-MX" w:eastAsia="es-ES"/>
        </w:rPr>
        <w:t>tre los párrafos 1.1.A7.38. y 1.1.A7.7</w:t>
      </w:r>
      <w:r w:rsidR="0024615B">
        <w:rPr>
          <w:rFonts w:ascii="Verdana" w:eastAsia="Times New Roman" w:hAnsi="Verdana" w:cs="Arial"/>
          <w:sz w:val="20"/>
          <w:szCs w:val="20"/>
          <w:lang w:val="es-MX" w:eastAsia="es-ES"/>
        </w:rPr>
        <w:t>2</w:t>
      </w:r>
      <w:r w:rsidR="00107A94" w:rsidRPr="00107A94">
        <w:rPr>
          <w:rFonts w:ascii="Verdana" w:eastAsia="Times New Roman" w:hAnsi="Verdana" w:cs="Arial"/>
          <w:sz w:val="20"/>
          <w:szCs w:val="20"/>
          <w:lang w:val="es-MX" w:eastAsia="es-ES"/>
        </w:rPr>
        <w:t xml:space="preserve">. </w:t>
      </w:r>
      <w:r w:rsidRPr="00107A94">
        <w:rPr>
          <w:rFonts w:ascii="Verdana" w:eastAsia="Times New Roman" w:hAnsi="Verdana" w:cs="Arial"/>
          <w:sz w:val="20"/>
          <w:szCs w:val="20"/>
          <w:lang w:val="es-MX" w:eastAsia="es-ES"/>
        </w:rPr>
        <w:t>dependiendo del subyacente de la opción.</w:t>
      </w:r>
    </w:p>
    <w:p w14:paraId="07EA497F" w14:textId="77777777" w:rsidR="00DC17E7" w:rsidRPr="00653E80" w:rsidRDefault="00DC17E7" w:rsidP="00DC17E7">
      <w:pPr>
        <w:tabs>
          <w:tab w:val="num" w:pos="567"/>
        </w:tabs>
        <w:spacing w:after="0" w:line="240" w:lineRule="auto"/>
        <w:ind w:left="567" w:hanging="567"/>
        <w:jc w:val="both"/>
        <w:rPr>
          <w:rFonts w:ascii="Verdana" w:eastAsia="Times New Roman" w:hAnsi="Verdana" w:cs="Arial"/>
          <w:sz w:val="20"/>
          <w:szCs w:val="20"/>
          <w:lang w:val="es-MX" w:eastAsia="es-ES"/>
        </w:rPr>
      </w:pPr>
    </w:p>
    <w:p w14:paraId="63644222" w14:textId="77777777" w:rsidR="009D4364" w:rsidRPr="00B139D7" w:rsidRDefault="00DC17E7" w:rsidP="00B139D7">
      <w:pPr>
        <w:pStyle w:val="Prrafodelista"/>
        <w:numPr>
          <w:ilvl w:val="0"/>
          <w:numId w:val="39"/>
        </w:numPr>
        <w:spacing w:after="0" w:line="240" w:lineRule="auto"/>
        <w:ind w:left="284" w:hanging="295"/>
        <w:jc w:val="both"/>
        <w:rPr>
          <w:rFonts w:ascii="Verdana" w:eastAsia="Times New Roman" w:hAnsi="Verdana" w:cs="Arial"/>
          <w:b/>
          <w:bCs/>
          <w:sz w:val="20"/>
          <w:szCs w:val="20"/>
          <w:lang w:val="es-MX" w:eastAsia="es-ES"/>
        </w:rPr>
      </w:pPr>
      <w:r w:rsidRPr="00B139D7">
        <w:rPr>
          <w:rFonts w:ascii="Verdana" w:eastAsia="Times New Roman" w:hAnsi="Verdana" w:cs="Arial"/>
          <w:b/>
          <w:bCs/>
          <w:sz w:val="20"/>
          <w:szCs w:val="20"/>
          <w:lang w:val="es-MX" w:eastAsia="es-ES"/>
        </w:rPr>
        <w:t xml:space="preserve">Riesgo Gamma </w:t>
      </w:r>
    </w:p>
    <w:p w14:paraId="6AE7D814" w14:textId="77777777" w:rsidR="009D4364" w:rsidRDefault="009D4364" w:rsidP="009D4364">
      <w:pPr>
        <w:spacing w:after="0" w:line="240" w:lineRule="auto"/>
        <w:jc w:val="both"/>
        <w:rPr>
          <w:rFonts w:ascii="Verdana" w:eastAsia="Times New Roman" w:hAnsi="Verdana" w:cs="Arial"/>
          <w:sz w:val="20"/>
          <w:szCs w:val="20"/>
          <w:lang w:val="es-MX" w:eastAsia="es-ES"/>
        </w:rPr>
      </w:pPr>
    </w:p>
    <w:p w14:paraId="5B595BF8" w14:textId="4CC438E7" w:rsidR="009D4364" w:rsidRPr="000E0B7B" w:rsidRDefault="009D4364" w:rsidP="009D436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E9619A">
        <w:rPr>
          <w:rFonts w:ascii="Verdana" w:hAnsi="Verdana"/>
          <w:sz w:val="20"/>
          <w:szCs w:val="20"/>
        </w:rPr>
        <w:t>88</w:t>
      </w:r>
      <w:r w:rsidRPr="000E0B7B">
        <w:rPr>
          <w:rFonts w:ascii="Verdana" w:hAnsi="Verdana"/>
          <w:sz w:val="20"/>
          <w:szCs w:val="20"/>
        </w:rPr>
        <w:t>.</w:t>
      </w:r>
    </w:p>
    <w:p w14:paraId="421246E8" w14:textId="1DDB5F53" w:rsidR="00DC17E7" w:rsidRPr="00A126F1" w:rsidRDefault="00DC17E7" w:rsidP="009D4364">
      <w:pPr>
        <w:spacing w:after="0" w:line="240" w:lineRule="auto"/>
        <w:jc w:val="both"/>
        <w:rPr>
          <w:rFonts w:ascii="Verdana" w:eastAsia="Times New Roman" w:hAnsi="Verdana" w:cs="Arial"/>
          <w:sz w:val="20"/>
          <w:szCs w:val="20"/>
          <w:lang w:val="es-MX" w:eastAsia="es-ES"/>
        </w:rPr>
      </w:pPr>
      <w:r w:rsidRPr="00A126F1">
        <w:rPr>
          <w:rFonts w:ascii="Verdana" w:eastAsia="Times New Roman" w:hAnsi="Verdana" w:cs="Arial"/>
          <w:sz w:val="20"/>
          <w:szCs w:val="20"/>
          <w:lang w:val="es-MX" w:eastAsia="es-ES"/>
        </w:rPr>
        <w:t>Para cada opción, un impacto gamma deberá ser calculado como:</w:t>
      </w:r>
    </w:p>
    <w:p w14:paraId="52370DD8" w14:textId="77777777" w:rsidR="00DC17E7" w:rsidRPr="00653E80" w:rsidRDefault="00DC17E7" w:rsidP="00DC17E7">
      <w:pPr>
        <w:tabs>
          <w:tab w:val="num" w:pos="284"/>
        </w:tabs>
        <w:spacing w:after="0" w:line="240" w:lineRule="auto"/>
        <w:ind w:left="284" w:hanging="284"/>
        <w:jc w:val="both"/>
        <w:rPr>
          <w:rFonts w:ascii="Verdana" w:eastAsia="Times New Roman" w:hAnsi="Verdana" w:cs="Arial"/>
          <w:bCs/>
          <w:sz w:val="20"/>
          <w:szCs w:val="20"/>
          <w:lang w:val="es-MX" w:eastAsia="es-ES"/>
        </w:rPr>
      </w:pPr>
    </w:p>
    <w:p w14:paraId="251AEFF6" w14:textId="2320EF1F" w:rsidR="00DC17E7" w:rsidRPr="00653E80" w:rsidRDefault="00D4000A" w:rsidP="00DC17E7">
      <w:pPr>
        <w:tabs>
          <w:tab w:val="num" w:pos="284"/>
        </w:tabs>
        <w:spacing w:after="0" w:line="240" w:lineRule="auto"/>
        <w:ind w:left="284" w:hanging="284"/>
        <w:jc w:val="both"/>
        <w:rPr>
          <w:rFonts w:ascii="Verdana" w:eastAsia="Times New Roman" w:hAnsi="Verdana" w:cs="Arial"/>
          <w:bCs/>
          <w:sz w:val="20"/>
          <w:szCs w:val="20"/>
          <w:lang w:val="es-MX" w:eastAsia="es-ES"/>
        </w:rPr>
      </w:pPr>
      <m:oMathPara>
        <m:oMath>
          <m:r>
            <w:rPr>
              <w:rFonts w:ascii="Cambria Math" w:eastAsia="Times New Roman" w:hAnsi="Cambria Math" w:cs="Arial"/>
              <w:sz w:val="20"/>
              <w:szCs w:val="20"/>
              <w:lang w:val="es-MX" w:eastAsia="es-ES"/>
            </w:rPr>
            <m:t>Impacto Gamma=</m:t>
          </m:r>
          <m:f>
            <m:fPr>
              <m:ctrlPr>
                <w:rPr>
                  <w:rFonts w:ascii="Cambria Math" w:eastAsia="Times New Roman" w:hAnsi="Cambria Math" w:cs="Arial"/>
                  <w:bCs/>
                  <w:i/>
                  <w:sz w:val="20"/>
                  <w:szCs w:val="20"/>
                  <w:lang w:val="es-MX" w:eastAsia="es-ES"/>
                </w:rPr>
              </m:ctrlPr>
            </m:fPr>
            <m:num>
              <m:r>
                <w:rPr>
                  <w:rFonts w:ascii="Cambria Math" w:eastAsia="Times New Roman" w:hAnsi="Cambria Math" w:cs="Arial"/>
                  <w:sz w:val="20"/>
                  <w:szCs w:val="20"/>
                  <w:lang w:val="es-MX" w:eastAsia="es-ES"/>
                </w:rPr>
                <m:t>1</m:t>
              </m:r>
            </m:num>
            <m:den>
              <m:r>
                <w:rPr>
                  <w:rFonts w:ascii="Cambria Math" w:eastAsia="Times New Roman" w:hAnsi="Cambria Math" w:cs="Arial"/>
                  <w:sz w:val="20"/>
                  <w:szCs w:val="20"/>
                  <w:lang w:val="es-MX" w:eastAsia="es-ES"/>
                </w:rPr>
                <m:t>2</m:t>
              </m:r>
            </m:den>
          </m:f>
          <m:r>
            <w:rPr>
              <w:rFonts w:ascii="Cambria Math" w:eastAsia="Times New Roman" w:hAnsi="Cambria Math" w:cs="Arial"/>
              <w:sz w:val="20"/>
              <w:szCs w:val="20"/>
              <w:lang w:val="es-MX" w:eastAsia="es-ES"/>
            </w:rPr>
            <m:t>Gamma*V</m:t>
          </m:r>
          <m:sSup>
            <m:sSupPr>
              <m:ctrlPr>
                <w:rPr>
                  <w:rFonts w:ascii="Cambria Math" w:eastAsia="Times New Roman" w:hAnsi="Cambria Math" w:cs="Arial"/>
                  <w:bCs/>
                  <w:i/>
                  <w:sz w:val="20"/>
                  <w:szCs w:val="20"/>
                  <w:lang w:val="es-MX" w:eastAsia="es-ES"/>
                </w:rPr>
              </m:ctrlPr>
            </m:sSupPr>
            <m:e>
              <m:r>
                <w:rPr>
                  <w:rFonts w:ascii="Cambria Math" w:eastAsia="Times New Roman" w:hAnsi="Cambria Math" w:cs="Arial"/>
                  <w:sz w:val="20"/>
                  <w:szCs w:val="20"/>
                  <w:lang w:val="es-MX" w:eastAsia="es-ES"/>
                </w:rPr>
                <m:t>S</m:t>
              </m:r>
            </m:e>
            <m:sup>
              <m:r>
                <w:rPr>
                  <w:rFonts w:ascii="Cambria Math" w:eastAsia="Times New Roman" w:hAnsi="Cambria Math" w:cs="Arial"/>
                  <w:sz w:val="20"/>
                  <w:szCs w:val="20"/>
                  <w:lang w:val="es-MX" w:eastAsia="es-ES"/>
                </w:rPr>
                <m:t>2</m:t>
              </m:r>
            </m:sup>
          </m:sSup>
        </m:oMath>
      </m:oMathPara>
    </w:p>
    <w:p w14:paraId="3020E4DF" w14:textId="77777777" w:rsidR="00DC17E7" w:rsidRPr="00653E80" w:rsidRDefault="00DC17E7" w:rsidP="00D4000A">
      <w:pPr>
        <w:tabs>
          <w:tab w:val="num" w:pos="284"/>
        </w:tabs>
        <w:spacing w:after="0" w:line="240" w:lineRule="auto"/>
        <w:jc w:val="both"/>
        <w:rPr>
          <w:rFonts w:ascii="Verdana" w:eastAsia="Times New Roman" w:hAnsi="Verdana" w:cs="Arial"/>
          <w:sz w:val="20"/>
          <w:szCs w:val="20"/>
          <w:lang w:val="es-MX" w:eastAsia="es-ES"/>
        </w:rPr>
      </w:pPr>
    </w:p>
    <w:p w14:paraId="047AF48E" w14:textId="77777777" w:rsidR="00DC17E7" w:rsidRPr="00653E80" w:rsidRDefault="00DC17E7" w:rsidP="00B139D7">
      <w:pPr>
        <w:tabs>
          <w:tab w:val="num" w:pos="284"/>
        </w:tabs>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Donde:</w:t>
      </w:r>
    </w:p>
    <w:p w14:paraId="1B81CE20" w14:textId="77777777" w:rsidR="00B139D7" w:rsidRDefault="00B139D7" w:rsidP="00DC17E7">
      <w:pPr>
        <w:tabs>
          <w:tab w:val="num" w:pos="284"/>
        </w:tabs>
        <w:spacing w:after="0" w:line="240" w:lineRule="auto"/>
        <w:ind w:left="284"/>
        <w:jc w:val="both"/>
        <w:rPr>
          <w:rFonts w:ascii="Verdana" w:eastAsia="Times New Roman" w:hAnsi="Verdana" w:cs="Arial"/>
          <w:i/>
          <w:iCs/>
          <w:sz w:val="20"/>
          <w:szCs w:val="20"/>
          <w:lang w:val="es-MX" w:eastAsia="es-ES"/>
        </w:rPr>
      </w:pPr>
    </w:p>
    <w:p w14:paraId="7C04AAE6" w14:textId="6DBD41DE" w:rsidR="00DC17E7" w:rsidRPr="00653E80" w:rsidRDefault="00D4000A" w:rsidP="00D4000A">
      <w:pPr>
        <w:tabs>
          <w:tab w:val="num" w:pos="284"/>
        </w:tabs>
        <w:spacing w:after="0" w:line="240" w:lineRule="auto"/>
        <w:jc w:val="both"/>
        <w:rPr>
          <w:rFonts w:ascii="Verdana" w:eastAsia="Times New Roman" w:hAnsi="Verdana" w:cs="Arial"/>
          <w:sz w:val="20"/>
          <w:szCs w:val="20"/>
          <w:lang w:val="es-MX" w:eastAsia="es-ES"/>
        </w:rPr>
      </w:pPr>
      <m:oMath>
        <m:r>
          <w:rPr>
            <w:rFonts w:ascii="Cambria Math" w:eastAsia="Times New Roman" w:hAnsi="Cambria Math" w:cs="Arial"/>
            <w:sz w:val="20"/>
            <w:szCs w:val="20"/>
            <w:lang w:val="es-MX" w:eastAsia="es-ES"/>
          </w:rPr>
          <m:t>VS</m:t>
        </m:r>
      </m:oMath>
      <w:r>
        <w:rPr>
          <w:rFonts w:ascii="Verdana" w:eastAsia="Times New Roman" w:hAnsi="Verdana" w:cs="Arial"/>
          <w:bCs/>
          <w:i/>
          <w:sz w:val="20"/>
          <w:szCs w:val="20"/>
          <w:lang w:val="es-MX" w:eastAsia="es-ES"/>
        </w:rPr>
        <w:t xml:space="preserve">: </w:t>
      </w:r>
      <w:r>
        <w:rPr>
          <w:rFonts w:ascii="Verdana" w:eastAsia="Times New Roman" w:hAnsi="Verdana" w:cs="Arial"/>
          <w:bCs/>
          <w:iCs/>
          <w:sz w:val="20"/>
          <w:szCs w:val="20"/>
          <w:lang w:val="es-MX" w:eastAsia="es-ES"/>
        </w:rPr>
        <w:t xml:space="preserve">es la </w:t>
      </w:r>
      <w:r>
        <w:rPr>
          <w:rFonts w:ascii="Verdana" w:eastAsia="Times New Roman" w:hAnsi="Verdana" w:cs="Arial"/>
          <w:sz w:val="20"/>
          <w:szCs w:val="20"/>
          <w:lang w:val="es-MX" w:eastAsia="es-ES"/>
        </w:rPr>
        <w:t>v</w:t>
      </w:r>
      <w:r w:rsidR="00DC17E7" w:rsidRPr="00653E80">
        <w:rPr>
          <w:rFonts w:ascii="Verdana" w:eastAsia="Times New Roman" w:hAnsi="Verdana" w:cs="Arial"/>
          <w:sz w:val="20"/>
          <w:szCs w:val="20"/>
          <w:lang w:val="es-MX" w:eastAsia="es-ES"/>
        </w:rPr>
        <w:t xml:space="preserve">ariación del </w:t>
      </w:r>
      <w:r>
        <w:rPr>
          <w:rFonts w:ascii="Verdana" w:eastAsia="Times New Roman" w:hAnsi="Verdana" w:cs="Arial"/>
          <w:sz w:val="20"/>
          <w:szCs w:val="20"/>
          <w:lang w:val="es-MX" w:eastAsia="es-ES"/>
        </w:rPr>
        <w:t>v</w:t>
      </w:r>
      <w:r w:rsidR="00DC17E7" w:rsidRPr="00653E80">
        <w:rPr>
          <w:rFonts w:ascii="Verdana" w:eastAsia="Times New Roman" w:hAnsi="Verdana" w:cs="Arial"/>
          <w:sz w:val="20"/>
          <w:szCs w:val="20"/>
          <w:lang w:val="es-MX" w:eastAsia="es-ES"/>
        </w:rPr>
        <w:t xml:space="preserve">alor del </w:t>
      </w:r>
      <w:r>
        <w:rPr>
          <w:rFonts w:ascii="Verdana" w:eastAsia="Times New Roman" w:hAnsi="Verdana" w:cs="Arial"/>
          <w:sz w:val="20"/>
          <w:szCs w:val="20"/>
          <w:lang w:val="es-MX" w:eastAsia="es-ES"/>
        </w:rPr>
        <w:t>s</w:t>
      </w:r>
      <w:r w:rsidR="00DC17E7" w:rsidRPr="00653E80">
        <w:rPr>
          <w:rFonts w:ascii="Verdana" w:eastAsia="Times New Roman" w:hAnsi="Verdana" w:cs="Arial"/>
          <w:sz w:val="20"/>
          <w:szCs w:val="20"/>
          <w:lang w:val="es-MX" w:eastAsia="es-ES"/>
        </w:rPr>
        <w:t>ubyacente</w:t>
      </w:r>
    </w:p>
    <w:p w14:paraId="4975CAB8" w14:textId="77777777" w:rsidR="00D4000A" w:rsidRDefault="00D4000A" w:rsidP="00D4000A">
      <w:pPr>
        <w:tabs>
          <w:tab w:val="num" w:pos="284"/>
        </w:tabs>
        <w:spacing w:after="0" w:line="240" w:lineRule="auto"/>
        <w:jc w:val="both"/>
        <w:rPr>
          <w:rFonts w:ascii="Verdana" w:eastAsia="Times New Roman" w:hAnsi="Verdana" w:cs="Arial"/>
          <w:i/>
          <w:iCs/>
          <w:sz w:val="20"/>
          <w:szCs w:val="20"/>
          <w:lang w:val="es-MX" w:eastAsia="es-ES"/>
        </w:rPr>
      </w:pPr>
    </w:p>
    <w:p w14:paraId="5A1D260D" w14:textId="6F85563F" w:rsidR="00DC17E7" w:rsidRPr="00653E80" w:rsidRDefault="00D4000A" w:rsidP="00D4000A">
      <w:pPr>
        <w:tabs>
          <w:tab w:val="num" w:pos="284"/>
        </w:tabs>
        <w:spacing w:after="0" w:line="240" w:lineRule="auto"/>
        <w:jc w:val="both"/>
        <w:rPr>
          <w:rFonts w:ascii="Verdana" w:eastAsia="Times New Roman" w:hAnsi="Verdana" w:cs="Arial"/>
          <w:sz w:val="20"/>
          <w:szCs w:val="20"/>
          <w:lang w:val="es-MX" w:eastAsia="es-ES"/>
        </w:rPr>
      </w:pPr>
      <m:oMath>
        <m:r>
          <w:rPr>
            <w:rFonts w:ascii="Cambria Math" w:eastAsia="Times New Roman" w:hAnsi="Cambria Math" w:cs="Arial"/>
            <w:sz w:val="20"/>
            <w:szCs w:val="20"/>
            <w:lang w:val="es-MX" w:eastAsia="es-ES"/>
          </w:rPr>
          <m:t>Gamma</m:t>
        </m:r>
      </m:oMath>
      <w:r w:rsidR="00DC17E7" w:rsidRPr="00653E80">
        <w:rPr>
          <w:rFonts w:ascii="Verdana" w:eastAsia="Times New Roman" w:hAnsi="Verdana" w:cs="Arial"/>
          <w:i/>
          <w:iCs/>
          <w:sz w:val="20"/>
          <w:szCs w:val="20"/>
          <w:lang w:val="es-MX" w:eastAsia="es-ES"/>
        </w:rPr>
        <w:tab/>
      </w:r>
      <w:r>
        <w:rPr>
          <w:rFonts w:ascii="Verdana" w:eastAsia="Times New Roman" w:hAnsi="Verdana" w:cs="Arial"/>
          <w:sz w:val="20"/>
          <w:szCs w:val="20"/>
          <w:lang w:val="es-MX" w:eastAsia="es-ES"/>
        </w:rPr>
        <w:t>: es el c</w:t>
      </w:r>
      <w:r w:rsidR="00DC17E7" w:rsidRPr="00653E80">
        <w:rPr>
          <w:rFonts w:ascii="Verdana" w:eastAsia="Times New Roman" w:hAnsi="Verdana" w:cs="Arial"/>
          <w:sz w:val="20"/>
          <w:szCs w:val="20"/>
          <w:lang w:val="es-MX" w:eastAsia="es-ES"/>
        </w:rPr>
        <w:t>ambio del factor delta ante un cambio de una unidad en el valor del subyacente.</w:t>
      </w:r>
    </w:p>
    <w:p w14:paraId="2B499B2A" w14:textId="77777777" w:rsidR="00DC17E7" w:rsidRPr="00653E80" w:rsidRDefault="00DC17E7" w:rsidP="00DC17E7">
      <w:pPr>
        <w:tabs>
          <w:tab w:val="num" w:pos="284"/>
        </w:tabs>
        <w:spacing w:after="0" w:line="240" w:lineRule="auto"/>
        <w:ind w:left="284"/>
        <w:jc w:val="both"/>
        <w:rPr>
          <w:rFonts w:ascii="Verdana" w:eastAsia="Times New Roman" w:hAnsi="Verdana" w:cs="Arial"/>
          <w:sz w:val="20"/>
          <w:szCs w:val="20"/>
          <w:lang w:val="es-MX" w:eastAsia="es-ES"/>
        </w:rPr>
      </w:pPr>
    </w:p>
    <w:p w14:paraId="061238EC" w14:textId="77777777" w:rsidR="00D4000A" w:rsidRDefault="00DC17E7" w:rsidP="00D4000A">
      <w:pPr>
        <w:pStyle w:val="Prrafodelista"/>
        <w:numPr>
          <w:ilvl w:val="1"/>
          <w:numId w:val="25"/>
        </w:numPr>
        <w:spacing w:after="0" w:line="240" w:lineRule="auto"/>
        <w:ind w:left="567" w:hanging="567"/>
        <w:jc w:val="both"/>
        <w:rPr>
          <w:rFonts w:ascii="Verdana" w:eastAsia="Times New Roman" w:hAnsi="Verdana" w:cs="Arial"/>
          <w:sz w:val="20"/>
          <w:szCs w:val="20"/>
          <w:lang w:val="es-MX" w:eastAsia="es-ES"/>
        </w:rPr>
      </w:pPr>
      <w:r w:rsidRPr="00D4000A">
        <w:rPr>
          <w:rFonts w:ascii="Verdana" w:eastAsia="Times New Roman" w:hAnsi="Verdana" w:cs="Arial"/>
          <w:sz w:val="20"/>
          <w:szCs w:val="20"/>
          <w:lang w:val="es-MX" w:eastAsia="es-ES"/>
        </w:rPr>
        <w:t>La variación en el valor del subyacente corresponderá a las volatilidades asociadas al factor de riesgo correspondiente a cada subyacente. Posteriormente, las posiciones en opciones se agruparán según el factor de riesgo asociado al instrumento subyacente.</w:t>
      </w:r>
    </w:p>
    <w:p w14:paraId="1E83251C" w14:textId="77777777" w:rsidR="00D4000A" w:rsidRDefault="00D4000A" w:rsidP="00D4000A">
      <w:pPr>
        <w:pStyle w:val="Prrafodelista"/>
        <w:spacing w:after="0" w:line="240" w:lineRule="auto"/>
        <w:ind w:left="567"/>
        <w:jc w:val="both"/>
        <w:rPr>
          <w:rFonts w:ascii="Verdana" w:eastAsia="Times New Roman" w:hAnsi="Verdana" w:cs="Arial"/>
          <w:sz w:val="20"/>
          <w:szCs w:val="20"/>
          <w:lang w:val="es-MX" w:eastAsia="es-ES"/>
        </w:rPr>
      </w:pPr>
    </w:p>
    <w:p w14:paraId="32A87B90" w14:textId="77777777" w:rsidR="00D4000A" w:rsidRDefault="00DC17E7" w:rsidP="00D4000A">
      <w:pPr>
        <w:pStyle w:val="Prrafodelista"/>
        <w:numPr>
          <w:ilvl w:val="1"/>
          <w:numId w:val="25"/>
        </w:numPr>
        <w:spacing w:after="0" w:line="240" w:lineRule="auto"/>
        <w:ind w:left="567" w:hanging="567"/>
        <w:jc w:val="both"/>
        <w:rPr>
          <w:rFonts w:ascii="Verdana" w:eastAsia="Times New Roman" w:hAnsi="Verdana" w:cs="Arial"/>
          <w:sz w:val="20"/>
          <w:szCs w:val="20"/>
          <w:lang w:val="es-MX" w:eastAsia="es-ES"/>
        </w:rPr>
      </w:pPr>
      <w:r w:rsidRPr="00D4000A">
        <w:rPr>
          <w:rFonts w:ascii="Verdana" w:eastAsia="Times New Roman" w:hAnsi="Verdana" w:cs="Arial"/>
          <w:sz w:val="20"/>
          <w:szCs w:val="20"/>
          <w:lang w:val="es-MX" w:eastAsia="es-ES"/>
        </w:rPr>
        <w:t xml:space="preserve">Para cada grupo se calcula un impacto gamma neto, como la suma de los impactos gamma de todas las posiciones en la agrupación. </w:t>
      </w:r>
    </w:p>
    <w:p w14:paraId="04991F41" w14:textId="77777777" w:rsidR="00D4000A" w:rsidRPr="00D4000A" w:rsidRDefault="00D4000A" w:rsidP="00D4000A">
      <w:pPr>
        <w:pStyle w:val="Prrafodelista"/>
        <w:rPr>
          <w:rFonts w:ascii="Verdana" w:eastAsia="Times New Roman" w:hAnsi="Verdana" w:cs="Arial"/>
          <w:sz w:val="20"/>
          <w:szCs w:val="20"/>
          <w:lang w:val="es-MX" w:eastAsia="es-ES"/>
        </w:rPr>
      </w:pPr>
    </w:p>
    <w:p w14:paraId="5F13E3A4" w14:textId="62996AF1" w:rsidR="00DC17E7" w:rsidRPr="00D4000A" w:rsidRDefault="00DC17E7" w:rsidP="00D4000A">
      <w:pPr>
        <w:pStyle w:val="Prrafodelista"/>
        <w:numPr>
          <w:ilvl w:val="1"/>
          <w:numId w:val="25"/>
        </w:numPr>
        <w:spacing w:after="0" w:line="240" w:lineRule="auto"/>
        <w:ind w:left="567" w:hanging="567"/>
        <w:jc w:val="both"/>
        <w:rPr>
          <w:rFonts w:ascii="Verdana" w:eastAsia="Times New Roman" w:hAnsi="Verdana" w:cs="Arial"/>
          <w:sz w:val="20"/>
          <w:szCs w:val="20"/>
          <w:lang w:val="es-MX" w:eastAsia="es-ES"/>
        </w:rPr>
      </w:pPr>
      <w:r w:rsidRPr="00D4000A">
        <w:rPr>
          <w:rFonts w:ascii="Verdana" w:eastAsia="Times New Roman" w:hAnsi="Verdana" w:cs="Arial"/>
          <w:sz w:val="20"/>
          <w:szCs w:val="20"/>
          <w:lang w:val="es-MX" w:eastAsia="es-ES"/>
        </w:rPr>
        <w:t>Cuando el subyacente de la opción, sea el mismo factor de riesgo asociado, este cargo no deberá ser tenido en cuenta.</w:t>
      </w:r>
    </w:p>
    <w:p w14:paraId="12DA67B3" w14:textId="77777777" w:rsidR="008C7681" w:rsidRPr="00653E80" w:rsidRDefault="008C7681" w:rsidP="0097703B">
      <w:pPr>
        <w:tabs>
          <w:tab w:val="num" w:pos="284"/>
        </w:tabs>
        <w:spacing w:after="0" w:line="240" w:lineRule="auto"/>
        <w:jc w:val="both"/>
        <w:rPr>
          <w:rFonts w:ascii="Verdana" w:eastAsia="Times New Roman" w:hAnsi="Verdana" w:cs="Arial"/>
          <w:sz w:val="20"/>
          <w:szCs w:val="20"/>
          <w:lang w:val="es-MX" w:eastAsia="es-ES"/>
        </w:rPr>
      </w:pPr>
    </w:p>
    <w:p w14:paraId="49926FB9" w14:textId="1B17C195" w:rsidR="00B139D7" w:rsidRPr="00B139D7" w:rsidRDefault="00DC17E7" w:rsidP="00B139D7">
      <w:pPr>
        <w:pStyle w:val="Prrafodelista"/>
        <w:numPr>
          <w:ilvl w:val="0"/>
          <w:numId w:val="39"/>
        </w:numPr>
        <w:spacing w:after="0" w:line="240" w:lineRule="auto"/>
        <w:ind w:left="284" w:hanging="284"/>
        <w:jc w:val="both"/>
        <w:rPr>
          <w:rFonts w:ascii="Verdana" w:eastAsia="Times New Roman" w:hAnsi="Verdana" w:cs="Arial"/>
          <w:b/>
          <w:bCs/>
          <w:sz w:val="20"/>
          <w:szCs w:val="20"/>
          <w:lang w:val="es-MX" w:eastAsia="es-ES"/>
        </w:rPr>
      </w:pPr>
      <w:r w:rsidRPr="00B139D7">
        <w:rPr>
          <w:rFonts w:ascii="Verdana" w:eastAsia="Times New Roman" w:hAnsi="Verdana" w:cs="Arial"/>
          <w:b/>
          <w:bCs/>
          <w:sz w:val="20"/>
          <w:szCs w:val="20"/>
          <w:lang w:val="es-MX" w:eastAsia="es-ES"/>
        </w:rPr>
        <w:t>Riesgo Vega</w:t>
      </w:r>
    </w:p>
    <w:p w14:paraId="2FBB09D6" w14:textId="77777777" w:rsidR="00B139D7" w:rsidRDefault="00B139D7" w:rsidP="00B139D7">
      <w:pPr>
        <w:spacing w:after="0" w:line="240" w:lineRule="auto"/>
        <w:jc w:val="both"/>
        <w:rPr>
          <w:rFonts w:ascii="Verdana" w:eastAsia="Times New Roman" w:hAnsi="Verdana" w:cs="Arial"/>
          <w:sz w:val="20"/>
          <w:szCs w:val="20"/>
          <w:lang w:val="es-MX" w:eastAsia="es-ES"/>
        </w:rPr>
      </w:pPr>
    </w:p>
    <w:p w14:paraId="6F582F85" w14:textId="7E4B86FA" w:rsidR="00B139D7" w:rsidRPr="000E0B7B" w:rsidRDefault="00B139D7" w:rsidP="00B139D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E9619A">
        <w:rPr>
          <w:rFonts w:ascii="Verdana" w:hAnsi="Verdana"/>
          <w:sz w:val="20"/>
          <w:szCs w:val="20"/>
        </w:rPr>
        <w:t>89</w:t>
      </w:r>
      <w:r w:rsidRPr="000E0B7B">
        <w:rPr>
          <w:rFonts w:ascii="Verdana" w:hAnsi="Verdana"/>
          <w:sz w:val="20"/>
          <w:szCs w:val="20"/>
        </w:rPr>
        <w:t>.</w:t>
      </w:r>
    </w:p>
    <w:p w14:paraId="3C701C7F" w14:textId="2153308D" w:rsidR="00DC17E7" w:rsidRPr="00A126F1" w:rsidRDefault="00DC17E7" w:rsidP="00B139D7">
      <w:pPr>
        <w:spacing w:after="0" w:line="240" w:lineRule="auto"/>
        <w:jc w:val="both"/>
        <w:rPr>
          <w:rFonts w:ascii="Verdana" w:eastAsia="Times New Roman" w:hAnsi="Verdana" w:cs="Arial"/>
          <w:sz w:val="20"/>
          <w:szCs w:val="20"/>
          <w:lang w:val="es-MX" w:eastAsia="es-ES"/>
        </w:rPr>
      </w:pPr>
      <w:r w:rsidRPr="00A126F1">
        <w:rPr>
          <w:rFonts w:ascii="Verdana" w:eastAsia="Times New Roman" w:hAnsi="Verdana" w:cs="Arial"/>
          <w:sz w:val="20"/>
          <w:szCs w:val="20"/>
          <w:lang w:val="es-MX" w:eastAsia="es-ES"/>
        </w:rPr>
        <w:t>El riesgo vega refleja la sensibilidad del valor de las posiciones en opciones con respecto a cambios en la volatilidad del valor del instrumento subyacente. El valor en riesgo es calculado como la suma de los impactos vega de cada opción.</w:t>
      </w:r>
    </w:p>
    <w:p w14:paraId="3401F793" w14:textId="77777777" w:rsidR="00DC17E7" w:rsidRPr="00653E80" w:rsidRDefault="00DC17E7" w:rsidP="00DC17E7">
      <w:pPr>
        <w:tabs>
          <w:tab w:val="num" w:pos="284"/>
        </w:tabs>
        <w:spacing w:after="0" w:line="240" w:lineRule="auto"/>
        <w:ind w:left="284"/>
        <w:jc w:val="both"/>
        <w:rPr>
          <w:rFonts w:ascii="Verdana" w:eastAsia="Times New Roman" w:hAnsi="Verdana" w:cs="Arial"/>
          <w:sz w:val="20"/>
          <w:szCs w:val="20"/>
          <w:lang w:val="es-MX" w:eastAsia="es-ES"/>
        </w:rPr>
      </w:pPr>
    </w:p>
    <w:p w14:paraId="108A70FF" w14:textId="4230D48D" w:rsidR="00B139D7" w:rsidRPr="000E0B7B" w:rsidRDefault="00B139D7" w:rsidP="00B139D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E9619A">
        <w:rPr>
          <w:rFonts w:ascii="Verdana" w:hAnsi="Verdana"/>
          <w:sz w:val="20"/>
          <w:szCs w:val="20"/>
        </w:rPr>
        <w:t>90</w:t>
      </w:r>
      <w:r w:rsidRPr="000E0B7B">
        <w:rPr>
          <w:rFonts w:ascii="Verdana" w:hAnsi="Verdana"/>
          <w:sz w:val="20"/>
          <w:szCs w:val="20"/>
        </w:rPr>
        <w:t>.</w:t>
      </w:r>
    </w:p>
    <w:p w14:paraId="4A838829" w14:textId="16049523" w:rsidR="00DC17E7" w:rsidRPr="00B139D7" w:rsidRDefault="00DC17E7" w:rsidP="00B139D7">
      <w:pPr>
        <w:spacing w:after="0" w:line="240" w:lineRule="auto"/>
        <w:jc w:val="both"/>
        <w:rPr>
          <w:rFonts w:ascii="Verdana" w:eastAsia="Times New Roman" w:hAnsi="Verdana" w:cs="Arial"/>
          <w:sz w:val="20"/>
          <w:szCs w:val="20"/>
          <w:lang w:val="es-MX" w:eastAsia="es-ES"/>
        </w:rPr>
      </w:pPr>
      <w:r w:rsidRPr="00B139D7">
        <w:rPr>
          <w:rFonts w:ascii="Verdana" w:eastAsia="Times New Roman" w:hAnsi="Verdana" w:cs="Arial"/>
          <w:sz w:val="20"/>
          <w:szCs w:val="20"/>
          <w:lang w:val="es-MX" w:eastAsia="es-ES"/>
        </w:rPr>
        <w:t>Estos impactos se calculan aplicando a la volatilidad del valor subyacente asociado un cambio de 25% positivo o negativo según sea la posición (corta o larga), sobre el factor vega correspondiente. El factor vega correspondiente mide el cambio del valor de la opción ante un cambio unitario en la volatilidad del valor del instrumento subyacente.</w:t>
      </w:r>
    </w:p>
    <w:p w14:paraId="330B6ADB" w14:textId="77777777" w:rsidR="00DC17E7" w:rsidRPr="00653E80" w:rsidRDefault="00DC17E7" w:rsidP="00DC17E7">
      <w:pPr>
        <w:tabs>
          <w:tab w:val="num" w:pos="284"/>
        </w:tabs>
        <w:spacing w:after="0" w:line="240" w:lineRule="auto"/>
        <w:ind w:left="284" w:hanging="284"/>
        <w:jc w:val="both"/>
        <w:rPr>
          <w:rFonts w:ascii="Verdana" w:eastAsia="Times New Roman" w:hAnsi="Verdana" w:cs="Arial"/>
          <w:sz w:val="20"/>
          <w:szCs w:val="20"/>
          <w:lang w:val="es-MX" w:eastAsia="es-ES"/>
        </w:rPr>
      </w:pPr>
    </w:p>
    <w:p w14:paraId="580F24DB" w14:textId="4D00EF5E"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E9619A">
        <w:rPr>
          <w:rFonts w:ascii="Verdana" w:hAnsi="Verdana"/>
          <w:sz w:val="20"/>
          <w:szCs w:val="20"/>
        </w:rPr>
        <w:t>91</w:t>
      </w:r>
      <w:r w:rsidRPr="000E0B7B">
        <w:rPr>
          <w:rFonts w:ascii="Verdana" w:hAnsi="Verdana"/>
          <w:sz w:val="20"/>
          <w:szCs w:val="20"/>
        </w:rPr>
        <w:t>.</w:t>
      </w:r>
    </w:p>
    <w:p w14:paraId="5805C278" w14:textId="04ACDB97" w:rsidR="00DC17E7" w:rsidRDefault="00DC17E7" w:rsidP="00DC17E7">
      <w:pPr>
        <w:tabs>
          <w:tab w:val="num" w:pos="284"/>
        </w:tabs>
        <w:spacing w:after="0" w:line="240" w:lineRule="auto"/>
        <w:jc w:val="both"/>
        <w:rPr>
          <w:rFonts w:ascii="Verdana" w:eastAsia="Times New Roman" w:hAnsi="Verdana" w:cs="Arial"/>
          <w:sz w:val="20"/>
          <w:szCs w:val="20"/>
          <w:lang w:val="es-MX" w:eastAsia="es-ES"/>
        </w:rPr>
      </w:pPr>
      <w:r w:rsidRPr="00653E80">
        <w:rPr>
          <w:rFonts w:ascii="Verdana" w:eastAsia="Times New Roman" w:hAnsi="Verdana" w:cs="Arial"/>
          <w:sz w:val="20"/>
          <w:szCs w:val="20"/>
          <w:lang w:val="es-MX" w:eastAsia="es-ES"/>
        </w:rPr>
        <w:t xml:space="preserve">Para el cálculo de los factores de sensibilidad delta, gamma y vega, así como de las volatilidades de los subyacentes que se utilicen en el cálculo del riesgo vega, las </w:t>
      </w:r>
      <w:r w:rsidRPr="00653E80">
        <w:rPr>
          <w:rFonts w:ascii="Verdana" w:eastAsia="Times New Roman" w:hAnsi="Verdana" w:cs="Arial"/>
          <w:sz w:val="20"/>
          <w:szCs w:val="20"/>
          <w:lang w:val="es-MX" w:eastAsia="es-ES"/>
        </w:rPr>
        <w:lastRenderedPageBreak/>
        <w:t>instituciones financieras deben aplicar metodologías concordantes con los modelos para la valoración de dichos instrument</w:t>
      </w:r>
      <w:r w:rsidRPr="00593186">
        <w:rPr>
          <w:rFonts w:ascii="Verdana" w:eastAsia="Times New Roman" w:hAnsi="Verdana" w:cs="Arial"/>
          <w:sz w:val="20"/>
          <w:szCs w:val="20"/>
          <w:lang w:val="es-MX" w:eastAsia="es-ES"/>
        </w:rPr>
        <w:t xml:space="preserve">os, de acuerdo </w:t>
      </w:r>
      <w:r w:rsidR="006B0F18">
        <w:rPr>
          <w:rFonts w:ascii="Verdana" w:eastAsia="Times New Roman" w:hAnsi="Verdana" w:cs="Arial"/>
          <w:sz w:val="20"/>
          <w:szCs w:val="20"/>
          <w:lang w:val="es-MX" w:eastAsia="es-ES"/>
        </w:rPr>
        <w:t>con</w:t>
      </w:r>
      <w:r w:rsidRPr="00593186">
        <w:rPr>
          <w:rFonts w:ascii="Verdana" w:eastAsia="Times New Roman" w:hAnsi="Verdana" w:cs="Arial"/>
          <w:sz w:val="20"/>
          <w:szCs w:val="20"/>
          <w:lang w:val="es-MX" w:eastAsia="es-ES"/>
        </w:rPr>
        <w:t xml:space="preserve"> lo estipulado en el </w:t>
      </w:r>
      <w:r w:rsidR="00593186" w:rsidRPr="00593186">
        <w:rPr>
          <w:rFonts w:ascii="Verdana" w:eastAsia="Times New Roman" w:hAnsi="Verdana" w:cs="Arial"/>
          <w:sz w:val="20"/>
          <w:szCs w:val="20"/>
          <w:lang w:val="es-MX" w:eastAsia="es-ES"/>
        </w:rPr>
        <w:t xml:space="preserve">capítulo 5 de la parte 3 de la </w:t>
      </w:r>
      <w:r w:rsidR="00747C09">
        <w:rPr>
          <w:rFonts w:ascii="Verdana" w:eastAsia="Times New Roman" w:hAnsi="Verdana" w:cs="Arial"/>
          <w:sz w:val="20"/>
          <w:szCs w:val="20"/>
          <w:lang w:val="es-MX" w:eastAsia="es-ES"/>
        </w:rPr>
        <w:t>CBF</w:t>
      </w:r>
      <w:r w:rsidR="00593186" w:rsidRPr="00593186">
        <w:rPr>
          <w:rFonts w:ascii="Verdana" w:eastAsia="Times New Roman" w:hAnsi="Verdana" w:cs="Arial"/>
          <w:sz w:val="20"/>
          <w:szCs w:val="20"/>
          <w:lang w:val="es-MX" w:eastAsia="es-ES"/>
        </w:rPr>
        <w:t>.</w:t>
      </w:r>
      <w:r w:rsidR="00593186">
        <w:rPr>
          <w:rFonts w:ascii="Verdana" w:eastAsia="Times New Roman" w:hAnsi="Verdana" w:cs="Arial"/>
          <w:sz w:val="20"/>
          <w:szCs w:val="20"/>
          <w:lang w:val="es-MX" w:eastAsia="es-ES"/>
        </w:rPr>
        <w:t xml:space="preserve"> </w:t>
      </w:r>
    </w:p>
    <w:p w14:paraId="7002586C" w14:textId="77777777" w:rsidR="00DC17E7" w:rsidRPr="00653E80" w:rsidRDefault="00DC17E7" w:rsidP="00DC17E7">
      <w:pPr>
        <w:spacing w:after="0" w:line="240" w:lineRule="auto"/>
        <w:jc w:val="both"/>
        <w:rPr>
          <w:rFonts w:ascii="Verdana" w:eastAsia="Times New Roman" w:hAnsi="Verdana" w:cs="Arial"/>
          <w:bCs/>
          <w:sz w:val="20"/>
          <w:szCs w:val="20"/>
          <w:lang w:val="es-MX" w:eastAsia="es-ES"/>
        </w:rPr>
      </w:pPr>
    </w:p>
    <w:p w14:paraId="2507177B" w14:textId="77777777" w:rsidR="00DC17E7" w:rsidRPr="00A126F1" w:rsidRDefault="00DC17E7" w:rsidP="00DC17E7">
      <w:pPr>
        <w:spacing w:after="0" w:line="240" w:lineRule="auto"/>
        <w:jc w:val="both"/>
        <w:rPr>
          <w:rFonts w:ascii="Verdana" w:eastAsia="Times New Roman" w:hAnsi="Verdana" w:cs="Arial"/>
          <w:b/>
          <w:sz w:val="20"/>
          <w:szCs w:val="20"/>
          <w:lang w:val="es-ES" w:eastAsia="es-ES"/>
        </w:rPr>
      </w:pPr>
      <w:r w:rsidRPr="00A126F1">
        <w:rPr>
          <w:rFonts w:ascii="Verdana" w:eastAsia="Times New Roman" w:hAnsi="Verdana" w:cs="Arial"/>
          <w:b/>
          <w:sz w:val="20"/>
          <w:szCs w:val="20"/>
          <w:lang w:val="es-ES" w:eastAsia="es-ES"/>
        </w:rPr>
        <w:t>Matrices de choques por componente principal, volatilidades y correlaciones de los factores de riesgo</w:t>
      </w:r>
    </w:p>
    <w:p w14:paraId="1C1C810F" w14:textId="77777777" w:rsidR="00DC17E7" w:rsidRPr="00653E80" w:rsidRDefault="00DC17E7" w:rsidP="00DC17E7">
      <w:pPr>
        <w:spacing w:after="0" w:line="240" w:lineRule="auto"/>
        <w:jc w:val="both"/>
        <w:rPr>
          <w:rFonts w:ascii="Verdana" w:eastAsia="Times New Roman" w:hAnsi="Verdana" w:cs="Arial"/>
          <w:snapToGrid w:val="0"/>
          <w:sz w:val="20"/>
          <w:szCs w:val="20"/>
          <w:lang w:val="es-MX" w:eastAsia="es-ES"/>
        </w:rPr>
      </w:pPr>
    </w:p>
    <w:p w14:paraId="0C8FD8D8" w14:textId="6AB9923E"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A75570">
        <w:rPr>
          <w:rFonts w:ascii="Verdana" w:hAnsi="Verdana"/>
          <w:sz w:val="20"/>
          <w:szCs w:val="20"/>
        </w:rPr>
        <w:t>9</w:t>
      </w:r>
      <w:r w:rsidR="00E9619A">
        <w:rPr>
          <w:rFonts w:ascii="Verdana" w:hAnsi="Verdana"/>
          <w:sz w:val="20"/>
          <w:szCs w:val="20"/>
        </w:rPr>
        <w:t>2</w:t>
      </w:r>
      <w:r w:rsidRPr="000E0B7B">
        <w:rPr>
          <w:rFonts w:ascii="Verdana" w:hAnsi="Verdana"/>
          <w:sz w:val="20"/>
          <w:szCs w:val="20"/>
        </w:rPr>
        <w:t>.</w:t>
      </w:r>
    </w:p>
    <w:p w14:paraId="057E9962" w14:textId="77777777" w:rsidR="00DC17E7" w:rsidRPr="00653E80" w:rsidRDefault="00DC17E7" w:rsidP="00DC17E7">
      <w:pPr>
        <w:spacing w:after="0" w:line="240" w:lineRule="auto"/>
        <w:jc w:val="both"/>
        <w:rPr>
          <w:rFonts w:ascii="Verdana" w:eastAsia="Times New Roman" w:hAnsi="Verdana" w:cs="Arial"/>
          <w:snapToGrid w:val="0"/>
          <w:sz w:val="20"/>
          <w:szCs w:val="20"/>
          <w:lang w:val="es-MX" w:eastAsia="es-ES"/>
        </w:rPr>
      </w:pPr>
      <w:r w:rsidRPr="00653E80">
        <w:rPr>
          <w:rFonts w:ascii="Verdana" w:eastAsia="Times New Roman" w:hAnsi="Verdana" w:cs="Arial"/>
          <w:snapToGrid w:val="0"/>
          <w:sz w:val="20"/>
          <w:szCs w:val="20"/>
          <w:lang w:val="es-MX" w:eastAsia="es-ES"/>
        </w:rPr>
        <w:t>Las matrices de choques por componente principal, las volatilidades y la matriz de correlaciones se actualizarán mensualmente, a más tardar el día 25 de cada mes, o el siguiente día hábil si este último no lo es, a través de la página web de la SFC.</w:t>
      </w:r>
    </w:p>
    <w:p w14:paraId="64CEFFF1" w14:textId="77777777" w:rsidR="00DC17E7" w:rsidRPr="00653E80" w:rsidRDefault="00DC17E7" w:rsidP="00DC17E7">
      <w:pPr>
        <w:spacing w:after="0" w:line="240" w:lineRule="auto"/>
        <w:jc w:val="both"/>
        <w:rPr>
          <w:rFonts w:ascii="Verdana" w:eastAsia="Times New Roman" w:hAnsi="Verdana" w:cs="Arial"/>
          <w:b/>
          <w:bCs/>
          <w:snapToGrid w:val="0"/>
          <w:sz w:val="20"/>
          <w:szCs w:val="20"/>
          <w:lang w:val="es-MX" w:eastAsia="es-ES"/>
        </w:rPr>
      </w:pPr>
    </w:p>
    <w:p w14:paraId="743DBB5B" w14:textId="77777777" w:rsidR="00DC17E7" w:rsidRPr="00653E80" w:rsidRDefault="00DC17E7" w:rsidP="00DC17E7">
      <w:pPr>
        <w:spacing w:after="0" w:line="240" w:lineRule="auto"/>
        <w:contextualSpacing/>
        <w:jc w:val="both"/>
        <w:rPr>
          <w:rFonts w:ascii="Verdana" w:eastAsia="Times New Roman" w:hAnsi="Verdana" w:cs="Arial"/>
          <w:b/>
          <w:sz w:val="20"/>
          <w:szCs w:val="20"/>
          <w:lang w:val="es-ES" w:eastAsia="es-ES"/>
        </w:rPr>
      </w:pPr>
      <w:r w:rsidRPr="00653E80">
        <w:rPr>
          <w:rFonts w:ascii="Verdana" w:eastAsia="Times New Roman" w:hAnsi="Verdana" w:cs="Arial"/>
          <w:b/>
          <w:sz w:val="20"/>
          <w:szCs w:val="20"/>
          <w:lang w:val="es-ES" w:eastAsia="es-ES"/>
        </w:rPr>
        <w:t>Evaluación del riesgo de mercado por operaciones de derivados de crédito</w:t>
      </w:r>
    </w:p>
    <w:p w14:paraId="7F498718" w14:textId="77777777" w:rsidR="00DC17E7" w:rsidRDefault="00DC17E7" w:rsidP="00DC17E7">
      <w:pPr>
        <w:spacing w:after="0" w:line="240" w:lineRule="auto"/>
        <w:jc w:val="both"/>
        <w:rPr>
          <w:rFonts w:ascii="Verdana" w:eastAsia="Times New Roman" w:hAnsi="Verdana" w:cs="Arial"/>
          <w:b/>
          <w:bCs/>
          <w:snapToGrid w:val="0"/>
          <w:sz w:val="20"/>
          <w:szCs w:val="20"/>
          <w:lang w:val="es-MX" w:eastAsia="es-ES"/>
        </w:rPr>
      </w:pPr>
    </w:p>
    <w:p w14:paraId="42D0996E" w14:textId="18B2D4B0"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E9619A">
        <w:rPr>
          <w:rFonts w:ascii="Verdana" w:hAnsi="Verdana"/>
          <w:sz w:val="20"/>
          <w:szCs w:val="20"/>
        </w:rPr>
        <w:t>93</w:t>
      </w:r>
      <w:r w:rsidRPr="000E0B7B">
        <w:rPr>
          <w:rFonts w:ascii="Verdana" w:hAnsi="Verdana"/>
          <w:sz w:val="20"/>
          <w:szCs w:val="20"/>
        </w:rPr>
        <w:t>.</w:t>
      </w:r>
    </w:p>
    <w:p w14:paraId="579AF896" w14:textId="37D457E9" w:rsidR="00DC17E7" w:rsidRPr="002B2117" w:rsidRDefault="00DC17E7" w:rsidP="00DC17E7">
      <w:pPr>
        <w:spacing w:after="0" w:line="240" w:lineRule="auto"/>
        <w:jc w:val="both"/>
        <w:rPr>
          <w:rFonts w:ascii="Verdana" w:eastAsia="Times New Roman" w:hAnsi="Verdana" w:cs="Arial"/>
          <w:snapToGrid w:val="0"/>
          <w:sz w:val="20"/>
          <w:szCs w:val="20"/>
          <w:lang w:val="es-ES_tradnl" w:eastAsia="es-ES"/>
        </w:rPr>
      </w:pPr>
      <w:r w:rsidRPr="00653E80">
        <w:rPr>
          <w:rFonts w:ascii="Verdana" w:eastAsia="Times New Roman" w:hAnsi="Verdana" w:cs="Arial"/>
          <w:snapToGrid w:val="0"/>
          <w:sz w:val="20"/>
          <w:szCs w:val="20"/>
          <w:lang w:val="es-ES_tradnl" w:eastAsia="es-ES"/>
        </w:rPr>
        <w:t xml:space="preserve">Aquellas entidades que por su régimen de inversiones </w:t>
      </w:r>
      <w:r w:rsidRPr="002B2117">
        <w:rPr>
          <w:rFonts w:ascii="Verdana" w:eastAsia="Times New Roman" w:hAnsi="Verdana" w:cs="Arial"/>
          <w:snapToGrid w:val="0"/>
          <w:sz w:val="20"/>
          <w:szCs w:val="20"/>
          <w:lang w:val="es-ES_tradnl" w:eastAsia="es-ES"/>
        </w:rPr>
        <w:t xml:space="preserve">puedan celebrar derivados de crédito con fines de negociación o inversión, deberán medir la exposición al riesgo de mercado por estas operaciones de </w:t>
      </w:r>
      <w:r w:rsidRPr="0018555B">
        <w:rPr>
          <w:rFonts w:ascii="Verdana" w:eastAsia="Times New Roman" w:hAnsi="Verdana" w:cs="Arial"/>
          <w:snapToGrid w:val="0"/>
          <w:sz w:val="20"/>
          <w:szCs w:val="20"/>
          <w:lang w:val="es-ES_tradnl" w:eastAsia="es-ES"/>
        </w:rPr>
        <w:t>acuerdo con</w:t>
      </w:r>
      <w:r w:rsidR="0018555B" w:rsidRPr="0018555B">
        <w:rPr>
          <w:rFonts w:ascii="Verdana" w:eastAsia="Times New Roman" w:hAnsi="Verdana" w:cs="Arial"/>
          <w:snapToGrid w:val="0"/>
          <w:sz w:val="20"/>
          <w:szCs w:val="20"/>
          <w:lang w:val="es-ES_tradnl" w:eastAsia="es-ES"/>
        </w:rPr>
        <w:t xml:space="preserve"> las siguientes instrucciones:</w:t>
      </w:r>
    </w:p>
    <w:p w14:paraId="6F3F7459" w14:textId="77777777" w:rsidR="00DC17E7" w:rsidRPr="002B2117" w:rsidRDefault="00DC17E7" w:rsidP="00DC17E7">
      <w:pPr>
        <w:spacing w:after="0" w:line="240" w:lineRule="auto"/>
        <w:jc w:val="both"/>
        <w:rPr>
          <w:rFonts w:ascii="Verdana" w:eastAsia="Times New Roman" w:hAnsi="Verdana" w:cs="Arial"/>
          <w:snapToGrid w:val="0"/>
          <w:sz w:val="20"/>
          <w:szCs w:val="20"/>
          <w:lang w:val="es-ES_tradnl" w:eastAsia="es-ES"/>
        </w:rPr>
      </w:pPr>
    </w:p>
    <w:p w14:paraId="705F5CB6" w14:textId="77777777" w:rsidR="00DC17E7" w:rsidRPr="00B139D7" w:rsidRDefault="00DC17E7" w:rsidP="00B139D7">
      <w:pPr>
        <w:pStyle w:val="Prrafodelista"/>
        <w:numPr>
          <w:ilvl w:val="0"/>
          <w:numId w:val="39"/>
        </w:numPr>
        <w:spacing w:after="0" w:line="240" w:lineRule="auto"/>
        <w:ind w:left="284" w:hanging="284"/>
        <w:jc w:val="both"/>
        <w:rPr>
          <w:rFonts w:ascii="Verdana" w:eastAsia="Times New Roman" w:hAnsi="Verdana" w:cs="Arial"/>
          <w:b/>
          <w:bCs/>
          <w:snapToGrid w:val="0"/>
          <w:sz w:val="20"/>
          <w:szCs w:val="20"/>
          <w:lang w:val="es-ES_tradnl" w:eastAsia="es-ES"/>
        </w:rPr>
      </w:pPr>
      <w:r w:rsidRPr="00B139D7">
        <w:rPr>
          <w:rFonts w:ascii="Verdana" w:eastAsia="Times New Roman" w:hAnsi="Verdana" w:cs="Arial"/>
          <w:b/>
          <w:bCs/>
          <w:snapToGrid w:val="0"/>
          <w:sz w:val="20"/>
          <w:szCs w:val="20"/>
          <w:lang w:val="es-ES_tradnl" w:eastAsia="es-ES"/>
        </w:rPr>
        <w:t>Factores de riesgo asociados a operaciones de derivados de crédito</w:t>
      </w:r>
    </w:p>
    <w:p w14:paraId="15749EFE" w14:textId="77777777" w:rsidR="00DC17E7" w:rsidRPr="00653E80" w:rsidRDefault="00DC17E7" w:rsidP="00DC17E7">
      <w:pPr>
        <w:spacing w:after="0" w:line="240" w:lineRule="auto"/>
        <w:jc w:val="both"/>
        <w:rPr>
          <w:rFonts w:ascii="Verdana" w:eastAsia="Times New Roman" w:hAnsi="Verdana" w:cs="Arial"/>
          <w:snapToGrid w:val="0"/>
          <w:sz w:val="20"/>
          <w:szCs w:val="20"/>
          <w:lang w:val="es-ES_tradnl" w:eastAsia="es-ES"/>
        </w:rPr>
      </w:pPr>
    </w:p>
    <w:p w14:paraId="25ECE435" w14:textId="566823D7" w:rsidR="00B139D7" w:rsidRPr="000E0B7B" w:rsidRDefault="00B139D7" w:rsidP="00B139D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E9619A">
        <w:rPr>
          <w:rFonts w:ascii="Verdana" w:hAnsi="Verdana"/>
          <w:sz w:val="20"/>
          <w:szCs w:val="20"/>
        </w:rPr>
        <w:t>94</w:t>
      </w:r>
      <w:r w:rsidRPr="000E0B7B">
        <w:rPr>
          <w:rFonts w:ascii="Verdana" w:hAnsi="Verdana"/>
          <w:sz w:val="20"/>
          <w:szCs w:val="20"/>
        </w:rPr>
        <w:t>.</w:t>
      </w:r>
    </w:p>
    <w:p w14:paraId="360426E7" w14:textId="5FE856DC" w:rsidR="00DC17E7" w:rsidRPr="00B139D7" w:rsidRDefault="00DC17E7" w:rsidP="00B139D7">
      <w:pPr>
        <w:spacing w:after="0" w:line="240" w:lineRule="auto"/>
        <w:jc w:val="both"/>
        <w:rPr>
          <w:rFonts w:ascii="Verdana" w:eastAsia="Times New Roman" w:hAnsi="Verdana" w:cs="Arial"/>
          <w:snapToGrid w:val="0"/>
          <w:sz w:val="20"/>
          <w:szCs w:val="20"/>
          <w:lang w:val="es-MX" w:eastAsia="es-ES"/>
        </w:rPr>
      </w:pPr>
      <w:r w:rsidRPr="00B139D7">
        <w:rPr>
          <w:rFonts w:ascii="Verdana" w:eastAsia="Times New Roman" w:hAnsi="Verdana" w:cs="Arial"/>
          <w:snapToGrid w:val="0"/>
          <w:sz w:val="20"/>
          <w:szCs w:val="20"/>
          <w:lang w:val="es-ES_tradnl" w:eastAsia="es-ES"/>
        </w:rPr>
        <w:t xml:space="preserve">La exposición neta que una entidad tenga en derivados de crédito con fines de negociación o </w:t>
      </w:r>
      <w:r w:rsidR="00DA549C" w:rsidRPr="00B139D7">
        <w:rPr>
          <w:rFonts w:ascii="Verdana" w:eastAsia="Times New Roman" w:hAnsi="Verdana" w:cs="Arial"/>
          <w:snapToGrid w:val="0"/>
          <w:sz w:val="20"/>
          <w:szCs w:val="20"/>
          <w:lang w:val="es-ES_tradnl" w:eastAsia="es-ES"/>
        </w:rPr>
        <w:t>inversión</w:t>
      </w:r>
      <w:r w:rsidRPr="00B139D7">
        <w:rPr>
          <w:rFonts w:ascii="Verdana" w:eastAsia="Times New Roman" w:hAnsi="Verdana" w:cs="Arial"/>
          <w:snapToGrid w:val="0"/>
          <w:sz w:val="20"/>
          <w:szCs w:val="20"/>
          <w:lang w:val="es-ES_tradnl" w:eastAsia="es-ES"/>
        </w:rPr>
        <w:t xml:space="preserve"> estará asociada </w:t>
      </w:r>
      <w:r w:rsidRPr="00B139D7">
        <w:rPr>
          <w:rFonts w:ascii="Verdana" w:eastAsia="Times New Roman" w:hAnsi="Verdana" w:cs="Arial"/>
          <w:snapToGrid w:val="0"/>
          <w:sz w:val="20"/>
          <w:szCs w:val="20"/>
          <w:lang w:val="es-MX" w:eastAsia="es-ES"/>
        </w:rPr>
        <w:t>al factor de riesgo de derivados de crédito.</w:t>
      </w:r>
    </w:p>
    <w:p w14:paraId="58554156" w14:textId="77777777" w:rsidR="00DC17E7" w:rsidRPr="002B2117" w:rsidRDefault="00DC17E7" w:rsidP="00DC17E7">
      <w:pPr>
        <w:spacing w:after="0" w:line="240" w:lineRule="auto"/>
        <w:ind w:left="1134" w:hanging="567"/>
        <w:jc w:val="both"/>
        <w:rPr>
          <w:rFonts w:ascii="Verdana" w:eastAsia="Times New Roman" w:hAnsi="Verdana" w:cs="Arial"/>
          <w:snapToGrid w:val="0"/>
          <w:sz w:val="20"/>
          <w:szCs w:val="20"/>
          <w:lang w:val="es-MX" w:eastAsia="es-ES"/>
        </w:rPr>
      </w:pPr>
    </w:p>
    <w:p w14:paraId="1C2A1024" w14:textId="078EB065" w:rsidR="00B139D7" w:rsidRPr="000E0B7B" w:rsidRDefault="00B139D7" w:rsidP="00B139D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E9619A">
        <w:rPr>
          <w:rFonts w:ascii="Verdana" w:hAnsi="Verdana"/>
          <w:sz w:val="20"/>
          <w:szCs w:val="20"/>
        </w:rPr>
        <w:t>95</w:t>
      </w:r>
      <w:r w:rsidRPr="000E0B7B">
        <w:rPr>
          <w:rFonts w:ascii="Verdana" w:hAnsi="Verdana"/>
          <w:sz w:val="20"/>
          <w:szCs w:val="20"/>
        </w:rPr>
        <w:t>.</w:t>
      </w:r>
    </w:p>
    <w:p w14:paraId="59B85CC7" w14:textId="44B37C24" w:rsidR="00DC17E7" w:rsidRPr="00B139D7" w:rsidRDefault="00DC17E7" w:rsidP="00B139D7">
      <w:pPr>
        <w:spacing w:after="0" w:line="240" w:lineRule="auto"/>
        <w:jc w:val="both"/>
        <w:rPr>
          <w:rFonts w:ascii="Verdana" w:eastAsia="Times New Roman" w:hAnsi="Verdana" w:cs="Arial"/>
          <w:b/>
          <w:bCs/>
          <w:snapToGrid w:val="0"/>
          <w:sz w:val="20"/>
          <w:szCs w:val="20"/>
          <w:lang w:val="es-MX" w:eastAsia="es-ES"/>
        </w:rPr>
      </w:pPr>
      <w:r w:rsidRPr="00B139D7">
        <w:rPr>
          <w:rFonts w:ascii="Verdana" w:eastAsia="Times New Roman" w:hAnsi="Verdana" w:cs="Arial"/>
          <w:snapToGrid w:val="0"/>
          <w:sz w:val="20"/>
          <w:szCs w:val="20"/>
          <w:lang w:val="es-MX" w:eastAsia="es-ES"/>
        </w:rPr>
        <w:t xml:space="preserve">Cuando se trate de derivados de crédito que, de acuerdo con su valoración, no puedan descomponerse y se asemejen en su comportamiento y estructura a una opción, el riesgo de mercado deberá calcularse de </w:t>
      </w:r>
      <w:r w:rsidRPr="009D1D58">
        <w:rPr>
          <w:rFonts w:ascii="Verdana" w:eastAsia="Times New Roman" w:hAnsi="Verdana" w:cs="Arial"/>
          <w:snapToGrid w:val="0"/>
          <w:sz w:val="20"/>
          <w:szCs w:val="20"/>
          <w:lang w:val="es-MX" w:eastAsia="es-ES"/>
        </w:rPr>
        <w:t xml:space="preserve">acuerdo con las reglas contenidas </w:t>
      </w:r>
      <w:r w:rsidR="000D6044" w:rsidRPr="009D1D58">
        <w:rPr>
          <w:rFonts w:ascii="Verdana" w:eastAsia="Times New Roman" w:hAnsi="Verdana" w:cs="Arial"/>
          <w:snapToGrid w:val="0"/>
          <w:sz w:val="20"/>
          <w:szCs w:val="20"/>
          <w:lang w:val="es-MX" w:eastAsia="es-ES"/>
        </w:rPr>
        <w:t>entre los párrafos 1.1.A7.</w:t>
      </w:r>
      <w:r w:rsidR="000D6044" w:rsidRPr="00E9619A">
        <w:rPr>
          <w:rFonts w:ascii="Verdana" w:eastAsia="Times New Roman" w:hAnsi="Verdana" w:cs="Arial"/>
          <w:snapToGrid w:val="0"/>
          <w:sz w:val="20"/>
          <w:szCs w:val="20"/>
          <w:lang w:val="es-MX" w:eastAsia="es-ES"/>
        </w:rPr>
        <w:t>8</w:t>
      </w:r>
      <w:r w:rsidR="00E9619A" w:rsidRPr="00747C09">
        <w:rPr>
          <w:rFonts w:ascii="Verdana" w:eastAsia="Times New Roman" w:hAnsi="Verdana" w:cs="Arial"/>
          <w:snapToGrid w:val="0"/>
          <w:sz w:val="20"/>
          <w:szCs w:val="20"/>
          <w:lang w:val="es-MX" w:eastAsia="es-ES"/>
        </w:rPr>
        <w:t>6</w:t>
      </w:r>
      <w:r w:rsidR="000D6044" w:rsidRPr="009D1D58">
        <w:rPr>
          <w:rFonts w:ascii="Verdana" w:eastAsia="Times New Roman" w:hAnsi="Verdana" w:cs="Arial"/>
          <w:snapToGrid w:val="0"/>
          <w:sz w:val="20"/>
          <w:szCs w:val="20"/>
          <w:lang w:val="es-MX" w:eastAsia="es-ES"/>
        </w:rPr>
        <w:t>. y 1.1.A7</w:t>
      </w:r>
      <w:r w:rsidR="009D1D58" w:rsidRPr="009D1D58">
        <w:rPr>
          <w:rFonts w:ascii="Verdana" w:eastAsia="Times New Roman" w:hAnsi="Verdana" w:cs="Arial"/>
          <w:snapToGrid w:val="0"/>
          <w:sz w:val="20"/>
          <w:szCs w:val="20"/>
          <w:lang w:val="es-MX" w:eastAsia="es-ES"/>
        </w:rPr>
        <w:t>.</w:t>
      </w:r>
      <w:r w:rsidR="00E9619A" w:rsidRPr="00E9619A">
        <w:rPr>
          <w:rFonts w:ascii="Verdana" w:eastAsia="Times New Roman" w:hAnsi="Verdana" w:cs="Arial"/>
          <w:snapToGrid w:val="0"/>
          <w:sz w:val="20"/>
          <w:szCs w:val="20"/>
          <w:lang w:val="es-MX" w:eastAsia="es-ES"/>
        </w:rPr>
        <w:t>9</w:t>
      </w:r>
      <w:r w:rsidR="00E9619A" w:rsidRPr="00747C09">
        <w:rPr>
          <w:rFonts w:ascii="Verdana" w:eastAsia="Times New Roman" w:hAnsi="Verdana" w:cs="Arial"/>
          <w:snapToGrid w:val="0"/>
          <w:sz w:val="20"/>
          <w:szCs w:val="20"/>
          <w:lang w:val="es-MX" w:eastAsia="es-ES"/>
        </w:rPr>
        <w:t>1</w:t>
      </w:r>
      <w:r w:rsidR="009D1D58" w:rsidRPr="009D1D58">
        <w:rPr>
          <w:rFonts w:ascii="Verdana" w:eastAsia="Times New Roman" w:hAnsi="Verdana" w:cs="Arial"/>
          <w:snapToGrid w:val="0"/>
          <w:sz w:val="20"/>
          <w:szCs w:val="20"/>
          <w:lang w:val="es-MX" w:eastAsia="es-ES"/>
        </w:rPr>
        <w:t>.</w:t>
      </w:r>
      <w:r w:rsidR="009D1D58">
        <w:rPr>
          <w:rFonts w:ascii="Verdana" w:eastAsia="Times New Roman" w:hAnsi="Verdana" w:cs="Arial"/>
          <w:snapToGrid w:val="0"/>
          <w:sz w:val="20"/>
          <w:szCs w:val="20"/>
          <w:lang w:val="es-MX" w:eastAsia="es-ES"/>
        </w:rPr>
        <w:t xml:space="preserve"> </w:t>
      </w:r>
    </w:p>
    <w:p w14:paraId="10CC24A6" w14:textId="77777777" w:rsidR="00DC17E7" w:rsidRPr="00B139D7" w:rsidRDefault="00DC17E7" w:rsidP="00DC17E7">
      <w:pPr>
        <w:spacing w:after="0" w:line="240" w:lineRule="auto"/>
        <w:jc w:val="both"/>
        <w:rPr>
          <w:rFonts w:ascii="Verdana" w:eastAsia="Times New Roman" w:hAnsi="Verdana" w:cs="Arial"/>
          <w:b/>
          <w:bCs/>
          <w:snapToGrid w:val="0"/>
          <w:sz w:val="20"/>
          <w:szCs w:val="20"/>
          <w:lang w:val="es-ES_tradnl" w:eastAsia="es-ES"/>
        </w:rPr>
      </w:pPr>
    </w:p>
    <w:p w14:paraId="02A6AC6E" w14:textId="77777777" w:rsidR="00DC17E7" w:rsidRPr="00B139D7" w:rsidRDefault="00DC17E7" w:rsidP="00B139D7">
      <w:pPr>
        <w:pStyle w:val="Prrafodelista"/>
        <w:numPr>
          <w:ilvl w:val="0"/>
          <w:numId w:val="39"/>
        </w:numPr>
        <w:spacing w:after="0" w:line="240" w:lineRule="auto"/>
        <w:ind w:left="284" w:hanging="284"/>
        <w:jc w:val="both"/>
        <w:rPr>
          <w:rFonts w:ascii="Verdana" w:eastAsia="Times New Roman" w:hAnsi="Verdana" w:cs="Arial"/>
          <w:b/>
          <w:bCs/>
          <w:snapToGrid w:val="0"/>
          <w:sz w:val="20"/>
          <w:szCs w:val="20"/>
          <w:lang w:val="es-ES_tradnl" w:eastAsia="es-ES"/>
        </w:rPr>
      </w:pPr>
      <w:r w:rsidRPr="00B139D7">
        <w:rPr>
          <w:rFonts w:ascii="Verdana" w:eastAsia="Times New Roman" w:hAnsi="Verdana" w:cs="Arial"/>
          <w:b/>
          <w:bCs/>
          <w:snapToGrid w:val="0"/>
          <w:sz w:val="20"/>
          <w:szCs w:val="20"/>
          <w:lang w:val="es-MX" w:eastAsia="es-ES"/>
        </w:rPr>
        <w:t>Cálculo de la exposición neta y sensibilidad al riesgo</w:t>
      </w:r>
    </w:p>
    <w:p w14:paraId="4F31AD4F" w14:textId="77777777" w:rsidR="00DC17E7" w:rsidRPr="00653E80" w:rsidRDefault="00DC17E7" w:rsidP="00DC17E7">
      <w:pPr>
        <w:spacing w:after="0" w:line="240" w:lineRule="auto"/>
        <w:jc w:val="both"/>
        <w:rPr>
          <w:rFonts w:ascii="Verdana" w:eastAsia="Times New Roman" w:hAnsi="Verdana" w:cs="Arial"/>
          <w:snapToGrid w:val="0"/>
          <w:sz w:val="20"/>
          <w:szCs w:val="20"/>
          <w:lang w:val="es-ES_tradnl" w:eastAsia="es-ES"/>
        </w:rPr>
      </w:pPr>
    </w:p>
    <w:p w14:paraId="66455F24" w14:textId="24437371" w:rsidR="00B139D7" w:rsidRPr="000E0B7B" w:rsidRDefault="00B139D7" w:rsidP="00B139D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A75570">
        <w:rPr>
          <w:rFonts w:ascii="Verdana" w:hAnsi="Verdana"/>
          <w:sz w:val="20"/>
          <w:szCs w:val="20"/>
        </w:rPr>
        <w:t>9</w:t>
      </w:r>
      <w:r w:rsidR="00E9619A">
        <w:rPr>
          <w:rFonts w:ascii="Verdana" w:hAnsi="Verdana"/>
          <w:sz w:val="20"/>
          <w:szCs w:val="20"/>
        </w:rPr>
        <w:t>6</w:t>
      </w:r>
      <w:r w:rsidRPr="000E0B7B">
        <w:rPr>
          <w:rFonts w:ascii="Verdana" w:hAnsi="Verdana"/>
          <w:sz w:val="20"/>
          <w:szCs w:val="20"/>
        </w:rPr>
        <w:t>.</w:t>
      </w:r>
    </w:p>
    <w:p w14:paraId="3FD29621" w14:textId="1A65E152" w:rsidR="00DC17E7" w:rsidRPr="00B139D7" w:rsidRDefault="00DC17E7" w:rsidP="00B139D7">
      <w:pPr>
        <w:spacing w:after="0" w:line="240" w:lineRule="auto"/>
        <w:jc w:val="both"/>
        <w:rPr>
          <w:rFonts w:ascii="Verdana" w:eastAsia="Times New Roman" w:hAnsi="Verdana" w:cs="Arial"/>
          <w:snapToGrid w:val="0"/>
          <w:sz w:val="20"/>
          <w:szCs w:val="20"/>
          <w:lang w:val="es-MX" w:eastAsia="es-ES"/>
        </w:rPr>
      </w:pPr>
      <w:r w:rsidRPr="00B139D7">
        <w:rPr>
          <w:rFonts w:ascii="Verdana" w:eastAsia="Times New Roman" w:hAnsi="Verdana" w:cs="Arial"/>
          <w:snapToGrid w:val="0"/>
          <w:sz w:val="20"/>
          <w:szCs w:val="20"/>
          <w:lang w:val="es-MX" w:eastAsia="es-ES"/>
        </w:rPr>
        <w:t>La exposición neta en posiciones en derivados de crédito deberá calcularse como la suma de las posiciones de las operaciones de derivados de crédito de la entidad.</w:t>
      </w:r>
    </w:p>
    <w:p w14:paraId="0CD64616" w14:textId="77777777" w:rsidR="00DC17E7" w:rsidRPr="00653E80" w:rsidRDefault="00DC17E7" w:rsidP="00DC17E7">
      <w:pPr>
        <w:spacing w:after="0" w:line="240" w:lineRule="auto"/>
        <w:ind w:left="1134" w:hanging="567"/>
        <w:jc w:val="both"/>
        <w:rPr>
          <w:rFonts w:ascii="Verdana" w:eastAsia="Times New Roman" w:hAnsi="Verdana" w:cs="Arial"/>
          <w:snapToGrid w:val="0"/>
          <w:sz w:val="20"/>
          <w:szCs w:val="20"/>
          <w:lang w:val="es-MX" w:eastAsia="es-ES"/>
        </w:rPr>
      </w:pPr>
    </w:p>
    <w:p w14:paraId="7A52868B" w14:textId="717C9936" w:rsidR="00B139D7" w:rsidRPr="000E0B7B" w:rsidRDefault="00B139D7" w:rsidP="00B139D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A75570">
        <w:rPr>
          <w:rFonts w:ascii="Verdana" w:hAnsi="Verdana"/>
          <w:sz w:val="20"/>
          <w:szCs w:val="20"/>
        </w:rPr>
        <w:t>9</w:t>
      </w:r>
      <w:r w:rsidR="00E9619A">
        <w:rPr>
          <w:rFonts w:ascii="Verdana" w:hAnsi="Verdana"/>
          <w:sz w:val="20"/>
          <w:szCs w:val="20"/>
        </w:rPr>
        <w:t>7</w:t>
      </w:r>
      <w:r w:rsidRPr="000E0B7B">
        <w:rPr>
          <w:rFonts w:ascii="Verdana" w:hAnsi="Verdana"/>
          <w:sz w:val="20"/>
          <w:szCs w:val="20"/>
        </w:rPr>
        <w:t>.</w:t>
      </w:r>
    </w:p>
    <w:p w14:paraId="134B6228" w14:textId="320C25E5" w:rsidR="00DC17E7" w:rsidRDefault="00B139D7" w:rsidP="00B139D7">
      <w:pPr>
        <w:spacing w:after="0" w:line="240" w:lineRule="auto"/>
        <w:jc w:val="both"/>
        <w:rPr>
          <w:rFonts w:ascii="Verdana" w:eastAsia="Times New Roman" w:hAnsi="Verdana" w:cs="Arial"/>
          <w:snapToGrid w:val="0"/>
          <w:sz w:val="20"/>
          <w:szCs w:val="20"/>
          <w:lang w:val="es-MX" w:eastAsia="es-ES"/>
        </w:rPr>
      </w:pPr>
      <w:r>
        <w:rPr>
          <w:rFonts w:ascii="Verdana" w:eastAsia="Times New Roman" w:hAnsi="Verdana" w:cs="Arial"/>
          <w:snapToGrid w:val="0"/>
          <w:sz w:val="20"/>
          <w:szCs w:val="20"/>
          <w:lang w:val="es-MX" w:eastAsia="es-ES"/>
        </w:rPr>
        <w:t>El</w:t>
      </w:r>
      <w:r w:rsidR="00DC17E7" w:rsidRPr="00B139D7">
        <w:rPr>
          <w:rFonts w:ascii="Verdana" w:eastAsia="Times New Roman" w:hAnsi="Verdana" w:cs="Arial"/>
          <w:snapToGrid w:val="0"/>
          <w:sz w:val="20"/>
          <w:szCs w:val="20"/>
          <w:lang w:val="es-MX" w:eastAsia="es-ES"/>
        </w:rPr>
        <w:t xml:space="preserve"> valor en riesgo para este factor de riesgo se calculará de la siguiente forma:</w:t>
      </w:r>
    </w:p>
    <w:p w14:paraId="0AF35EE5" w14:textId="77777777" w:rsidR="005C3258" w:rsidRDefault="005C3258" w:rsidP="00B139D7">
      <w:pPr>
        <w:spacing w:after="0" w:line="240" w:lineRule="auto"/>
        <w:jc w:val="both"/>
        <w:rPr>
          <w:rFonts w:ascii="Verdana" w:eastAsia="Times New Roman" w:hAnsi="Verdana" w:cs="Arial"/>
          <w:snapToGrid w:val="0"/>
          <w:sz w:val="20"/>
          <w:szCs w:val="20"/>
          <w:lang w:val="es-MX" w:eastAsia="es-ES"/>
        </w:rPr>
      </w:pPr>
    </w:p>
    <w:p w14:paraId="7C14ECF2" w14:textId="571FBCD8" w:rsidR="00DC17E7" w:rsidRPr="005C3258" w:rsidRDefault="005C3258" w:rsidP="00DC17E7">
      <w:pPr>
        <w:spacing w:after="0" w:line="240" w:lineRule="auto"/>
        <w:jc w:val="both"/>
        <w:rPr>
          <w:rFonts w:ascii="Verdana" w:eastAsia="Times New Roman" w:hAnsi="Verdana" w:cs="Arial"/>
          <w:sz w:val="20"/>
          <w:szCs w:val="20"/>
          <w:lang w:val="es-MX" w:eastAsia="es-ES"/>
        </w:rPr>
      </w:pPr>
      <m:oMathPara>
        <m:oMath>
          <m:r>
            <w:rPr>
              <w:rFonts w:ascii="Cambria Math" w:eastAsia="Times New Roman" w:hAnsi="Cambria Math" w:cs="Arial"/>
              <w:sz w:val="20"/>
              <w:szCs w:val="20"/>
              <w:lang w:val="es-MX" w:eastAsia="es-ES"/>
            </w:rPr>
            <m:t>VeR=EN*(2,33*σ)</m:t>
          </m:r>
        </m:oMath>
      </m:oMathPara>
    </w:p>
    <w:p w14:paraId="49D2F63A" w14:textId="77777777" w:rsidR="00DC17E7" w:rsidRPr="00653E80" w:rsidRDefault="00DC17E7" w:rsidP="00DC17E7">
      <w:pPr>
        <w:spacing w:after="0" w:line="240" w:lineRule="auto"/>
        <w:jc w:val="both"/>
        <w:rPr>
          <w:rFonts w:ascii="Verdana" w:eastAsia="Times New Roman" w:hAnsi="Verdana" w:cs="Arial"/>
          <w:snapToGrid w:val="0"/>
          <w:sz w:val="20"/>
          <w:szCs w:val="20"/>
          <w:lang w:val="es-MX" w:eastAsia="es-ES"/>
        </w:rPr>
      </w:pPr>
    </w:p>
    <w:p w14:paraId="3D3CE1B7" w14:textId="77777777" w:rsidR="00DC17E7" w:rsidRPr="002B2117" w:rsidRDefault="00DC17E7" w:rsidP="00B139D7">
      <w:pPr>
        <w:spacing w:after="0" w:line="240" w:lineRule="auto"/>
        <w:jc w:val="both"/>
        <w:rPr>
          <w:rFonts w:ascii="Verdana" w:eastAsia="Times New Roman" w:hAnsi="Verdana" w:cs="Arial"/>
          <w:snapToGrid w:val="0"/>
          <w:sz w:val="20"/>
          <w:szCs w:val="20"/>
          <w:lang w:val="es-MX" w:eastAsia="es-ES"/>
        </w:rPr>
      </w:pPr>
      <w:r w:rsidRPr="002B2117">
        <w:rPr>
          <w:rFonts w:ascii="Verdana" w:eastAsia="Times New Roman" w:hAnsi="Verdana" w:cs="Arial"/>
          <w:snapToGrid w:val="0"/>
          <w:sz w:val="20"/>
          <w:szCs w:val="20"/>
          <w:lang w:val="es-MX" w:eastAsia="es-ES"/>
        </w:rPr>
        <w:t>Donde:</w:t>
      </w:r>
    </w:p>
    <w:p w14:paraId="63AC10BB" w14:textId="77777777" w:rsidR="00DC17E7" w:rsidRPr="002B2117" w:rsidRDefault="00DC17E7" w:rsidP="00B139D7">
      <w:pPr>
        <w:spacing w:after="0" w:line="240" w:lineRule="auto"/>
        <w:jc w:val="both"/>
        <w:rPr>
          <w:rFonts w:ascii="Verdana" w:eastAsia="Times New Roman" w:hAnsi="Verdana" w:cs="Arial"/>
          <w:snapToGrid w:val="0"/>
          <w:sz w:val="20"/>
          <w:szCs w:val="20"/>
          <w:lang w:val="es-MX" w:eastAsia="es-ES"/>
        </w:rPr>
      </w:pPr>
    </w:p>
    <w:p w14:paraId="5B0ABB4F" w14:textId="5F4D8F2A" w:rsidR="00DC17E7" w:rsidRPr="002B2117" w:rsidRDefault="005C3258" w:rsidP="00B139D7">
      <w:pPr>
        <w:spacing w:after="0" w:line="240" w:lineRule="auto"/>
        <w:jc w:val="both"/>
        <w:rPr>
          <w:rFonts w:ascii="Verdana" w:eastAsia="Times New Roman" w:hAnsi="Verdana" w:cs="Arial"/>
          <w:snapToGrid w:val="0"/>
          <w:sz w:val="20"/>
          <w:szCs w:val="20"/>
          <w:lang w:val="es-MX" w:eastAsia="es-ES"/>
        </w:rPr>
      </w:pPr>
      <m:oMath>
        <m:r>
          <w:rPr>
            <w:rFonts w:ascii="Cambria Math" w:eastAsia="Times New Roman" w:hAnsi="Cambria Math" w:cs="Arial"/>
            <w:sz w:val="20"/>
            <w:szCs w:val="20"/>
            <w:lang w:val="es-MX" w:eastAsia="es-ES"/>
          </w:rPr>
          <m:t>VeR</m:t>
        </m:r>
      </m:oMath>
      <w:r w:rsidR="00DC17E7" w:rsidRPr="002B2117">
        <w:rPr>
          <w:rFonts w:ascii="Verdana" w:eastAsia="Times New Roman" w:hAnsi="Verdana" w:cs="Arial"/>
          <w:snapToGrid w:val="0"/>
          <w:sz w:val="20"/>
          <w:szCs w:val="20"/>
          <w:lang w:val="es-MX" w:eastAsia="es-ES"/>
        </w:rPr>
        <w:t xml:space="preserve">: </w:t>
      </w:r>
      <w:r>
        <w:rPr>
          <w:rFonts w:ascii="Verdana" w:eastAsia="Times New Roman" w:hAnsi="Verdana" w:cs="Arial"/>
          <w:snapToGrid w:val="0"/>
          <w:sz w:val="20"/>
          <w:szCs w:val="20"/>
          <w:lang w:val="es-MX" w:eastAsia="es-ES"/>
        </w:rPr>
        <w:t>v</w:t>
      </w:r>
      <w:r w:rsidR="00DC17E7" w:rsidRPr="002B2117">
        <w:rPr>
          <w:rFonts w:ascii="Verdana" w:eastAsia="Times New Roman" w:hAnsi="Verdana" w:cs="Arial"/>
          <w:snapToGrid w:val="0"/>
          <w:sz w:val="20"/>
          <w:szCs w:val="20"/>
          <w:lang w:val="es-MX" w:eastAsia="es-ES"/>
        </w:rPr>
        <w:t>alor en riesgo por variación en el factor de riesgo.</w:t>
      </w:r>
    </w:p>
    <w:p w14:paraId="04F51CFE" w14:textId="77777777" w:rsidR="00B139D7" w:rsidRDefault="00B139D7" w:rsidP="00B139D7">
      <w:pPr>
        <w:spacing w:after="0" w:line="240" w:lineRule="auto"/>
        <w:jc w:val="both"/>
        <w:rPr>
          <w:rFonts w:ascii="Verdana" w:eastAsia="Times New Roman" w:hAnsi="Verdana" w:cs="Arial"/>
          <w:snapToGrid w:val="0"/>
          <w:sz w:val="20"/>
          <w:szCs w:val="20"/>
          <w:lang w:val="es-MX" w:eastAsia="es-ES"/>
        </w:rPr>
      </w:pPr>
    </w:p>
    <w:p w14:paraId="45C0BCAF" w14:textId="47CCD201" w:rsidR="00DC17E7" w:rsidRPr="002B2117" w:rsidRDefault="005C3258" w:rsidP="00B139D7">
      <w:pPr>
        <w:spacing w:after="0" w:line="240" w:lineRule="auto"/>
        <w:jc w:val="both"/>
        <w:rPr>
          <w:rFonts w:ascii="Verdana" w:eastAsia="Times New Roman" w:hAnsi="Verdana" w:cs="Arial"/>
          <w:snapToGrid w:val="0"/>
          <w:sz w:val="20"/>
          <w:szCs w:val="20"/>
          <w:lang w:val="es-MX" w:eastAsia="es-ES"/>
        </w:rPr>
      </w:pPr>
      <m:oMath>
        <m:r>
          <w:rPr>
            <w:rFonts w:ascii="Cambria Math" w:eastAsia="Times New Roman" w:hAnsi="Cambria Math" w:cs="Arial"/>
            <w:sz w:val="20"/>
            <w:szCs w:val="20"/>
            <w:lang w:val="es-MX" w:eastAsia="es-ES"/>
          </w:rPr>
          <m:t>EN</m:t>
        </m:r>
      </m:oMath>
      <w:r w:rsidR="00DC17E7" w:rsidRPr="002B2117">
        <w:rPr>
          <w:rFonts w:ascii="Verdana" w:eastAsia="Times New Roman" w:hAnsi="Verdana" w:cs="Arial"/>
          <w:snapToGrid w:val="0"/>
          <w:sz w:val="20"/>
          <w:szCs w:val="20"/>
          <w:lang w:val="es-MX" w:eastAsia="es-ES"/>
        </w:rPr>
        <w:t>: valor absoluto de la exposición neta de posiciones atadas al factor de riesgo de derivados de crédito.</w:t>
      </w:r>
    </w:p>
    <w:p w14:paraId="62F72755" w14:textId="77777777" w:rsidR="00B139D7" w:rsidRDefault="00B139D7" w:rsidP="00B139D7">
      <w:pPr>
        <w:spacing w:after="0" w:line="240" w:lineRule="auto"/>
        <w:jc w:val="both"/>
        <w:rPr>
          <w:rFonts w:ascii="Verdana" w:eastAsia="Times New Roman" w:hAnsi="Verdana" w:cs="Arial"/>
          <w:snapToGrid w:val="0"/>
          <w:sz w:val="20"/>
          <w:szCs w:val="20"/>
          <w:lang w:val="es-MX" w:eastAsia="es-ES"/>
        </w:rPr>
      </w:pPr>
    </w:p>
    <w:p w14:paraId="0E137080" w14:textId="76E0E14F" w:rsidR="00DC17E7" w:rsidRPr="002B2117" w:rsidRDefault="005C3258" w:rsidP="00B139D7">
      <w:pPr>
        <w:spacing w:after="0" w:line="240" w:lineRule="auto"/>
        <w:jc w:val="both"/>
        <w:rPr>
          <w:rFonts w:ascii="Verdana" w:eastAsia="Times New Roman" w:hAnsi="Verdana" w:cs="Arial"/>
          <w:snapToGrid w:val="0"/>
          <w:sz w:val="20"/>
          <w:szCs w:val="20"/>
          <w:lang w:val="es-ES_tradnl" w:eastAsia="es-ES"/>
        </w:rPr>
      </w:pPr>
      <m:oMath>
        <m:r>
          <w:rPr>
            <w:rFonts w:ascii="Cambria Math" w:eastAsia="Times New Roman" w:hAnsi="Cambria Math" w:cs="Arial"/>
            <w:sz w:val="20"/>
            <w:szCs w:val="20"/>
            <w:lang w:val="es-MX" w:eastAsia="es-ES"/>
          </w:rPr>
          <m:t>σ</m:t>
        </m:r>
      </m:oMath>
      <w:r w:rsidR="00DC17E7" w:rsidRPr="002B2117">
        <w:rPr>
          <w:rFonts w:ascii="Verdana" w:eastAsia="Times New Roman" w:hAnsi="Verdana" w:cs="Arial"/>
          <w:snapToGrid w:val="0"/>
          <w:sz w:val="20"/>
          <w:szCs w:val="20"/>
          <w:lang w:val="es-MX" w:eastAsia="es-ES"/>
        </w:rPr>
        <w:t>:</w:t>
      </w:r>
      <w:r>
        <w:rPr>
          <w:rFonts w:ascii="Verdana" w:eastAsia="Times New Roman" w:hAnsi="Verdana" w:cs="Arial"/>
          <w:snapToGrid w:val="0"/>
          <w:sz w:val="20"/>
          <w:szCs w:val="20"/>
          <w:lang w:val="es-MX" w:eastAsia="es-ES"/>
        </w:rPr>
        <w:t xml:space="preserve"> es la</w:t>
      </w:r>
      <w:r w:rsidR="00DC17E7" w:rsidRPr="002B2117">
        <w:rPr>
          <w:rFonts w:ascii="Verdana" w:eastAsia="Times New Roman" w:hAnsi="Verdana" w:cs="Arial"/>
          <w:snapToGrid w:val="0"/>
          <w:sz w:val="20"/>
          <w:szCs w:val="20"/>
          <w:lang w:val="es-MX" w:eastAsia="es-ES"/>
        </w:rPr>
        <w:t xml:space="preserve"> </w:t>
      </w:r>
      <w:r>
        <w:rPr>
          <w:rFonts w:ascii="Verdana" w:eastAsia="Times New Roman" w:hAnsi="Verdana" w:cs="Arial"/>
          <w:snapToGrid w:val="0"/>
          <w:sz w:val="20"/>
          <w:szCs w:val="20"/>
          <w:lang w:val="es-MX" w:eastAsia="es-ES"/>
        </w:rPr>
        <w:t>v</w:t>
      </w:r>
      <w:r w:rsidR="00DC17E7" w:rsidRPr="002B2117">
        <w:rPr>
          <w:rFonts w:ascii="Verdana" w:eastAsia="Times New Roman" w:hAnsi="Verdana" w:cs="Arial"/>
          <w:snapToGrid w:val="0"/>
          <w:sz w:val="20"/>
          <w:szCs w:val="20"/>
          <w:lang w:val="es-MX" w:eastAsia="es-ES"/>
        </w:rPr>
        <w:t>olatilidad asociada al factor de riesgo de derivados de crédito.</w:t>
      </w:r>
    </w:p>
    <w:p w14:paraId="76D23CCA" w14:textId="77777777" w:rsidR="008B7A92" w:rsidRPr="00653E80" w:rsidRDefault="008B7A92" w:rsidP="00DC17E7">
      <w:pPr>
        <w:spacing w:after="0" w:line="240" w:lineRule="auto"/>
        <w:jc w:val="both"/>
        <w:rPr>
          <w:rFonts w:ascii="Verdana" w:eastAsia="Times New Roman" w:hAnsi="Verdana" w:cs="Arial"/>
          <w:snapToGrid w:val="0"/>
          <w:sz w:val="20"/>
          <w:szCs w:val="20"/>
          <w:lang w:val="es-ES_tradnl" w:eastAsia="es-ES"/>
        </w:rPr>
      </w:pPr>
    </w:p>
    <w:p w14:paraId="4B6E56E7" w14:textId="44FBBB4A" w:rsidR="00DC17E7" w:rsidRPr="002B2117" w:rsidRDefault="00B139D7" w:rsidP="00DC17E7">
      <w:pPr>
        <w:spacing w:after="0" w:line="240" w:lineRule="auto"/>
        <w:jc w:val="both"/>
        <w:rPr>
          <w:rFonts w:ascii="Verdana" w:eastAsia="Times New Roman" w:hAnsi="Verdana" w:cs="Arial"/>
          <w:b/>
          <w:sz w:val="20"/>
          <w:szCs w:val="20"/>
          <w:lang w:val="es-ES" w:eastAsia="es-ES"/>
        </w:rPr>
      </w:pPr>
      <w:r w:rsidRPr="002B2117">
        <w:rPr>
          <w:rFonts w:ascii="Verdana" w:eastAsia="Times New Roman" w:hAnsi="Verdana" w:cs="Arial"/>
          <w:b/>
          <w:sz w:val="20"/>
          <w:szCs w:val="20"/>
          <w:lang w:val="es-ES" w:eastAsia="es-ES"/>
        </w:rPr>
        <w:t>REGLAS RELATIVAS A LOS REPORTES DE INFORMACIÓN</w:t>
      </w:r>
    </w:p>
    <w:p w14:paraId="6308AA5E" w14:textId="77777777" w:rsidR="00DC17E7" w:rsidRDefault="00DC17E7" w:rsidP="00DC17E7">
      <w:pPr>
        <w:pStyle w:val="Prrafodelista"/>
        <w:spacing w:after="0" w:line="240" w:lineRule="auto"/>
        <w:ind w:left="0"/>
        <w:jc w:val="both"/>
        <w:rPr>
          <w:rFonts w:ascii="Verdana" w:eastAsia="Times New Roman" w:hAnsi="Verdana" w:cs="Arial"/>
          <w:sz w:val="20"/>
          <w:szCs w:val="20"/>
          <w:lang w:val="es-ES" w:eastAsia="es-ES"/>
        </w:rPr>
      </w:pPr>
    </w:p>
    <w:p w14:paraId="5E7CB8CE" w14:textId="011CB98D" w:rsidR="00DC17E7" w:rsidRPr="000E0B7B" w:rsidRDefault="00DC17E7" w:rsidP="00DC17E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A7</w:t>
      </w:r>
      <w:r w:rsidRPr="000E0B7B">
        <w:rPr>
          <w:rFonts w:ascii="Verdana" w:hAnsi="Verdana"/>
          <w:sz w:val="20"/>
          <w:szCs w:val="20"/>
        </w:rPr>
        <w:t>.</w:t>
      </w:r>
      <w:r w:rsidR="00A75570">
        <w:rPr>
          <w:rFonts w:ascii="Verdana" w:hAnsi="Verdana"/>
          <w:sz w:val="20"/>
          <w:szCs w:val="20"/>
        </w:rPr>
        <w:t>9</w:t>
      </w:r>
      <w:r w:rsidR="00E9619A">
        <w:rPr>
          <w:rFonts w:ascii="Verdana" w:hAnsi="Verdana"/>
          <w:sz w:val="20"/>
          <w:szCs w:val="20"/>
        </w:rPr>
        <w:t>8</w:t>
      </w:r>
      <w:r w:rsidRPr="000E0B7B">
        <w:rPr>
          <w:rFonts w:ascii="Verdana" w:hAnsi="Verdana"/>
          <w:sz w:val="20"/>
          <w:szCs w:val="20"/>
        </w:rPr>
        <w:t>.</w:t>
      </w:r>
    </w:p>
    <w:p w14:paraId="71CA9CD0" w14:textId="77777777" w:rsidR="00DC17E7" w:rsidRPr="00653E80" w:rsidRDefault="00DC17E7" w:rsidP="00DC17E7">
      <w:pPr>
        <w:pStyle w:val="Prrafodelista"/>
        <w:spacing w:after="0" w:line="240" w:lineRule="auto"/>
        <w:ind w:left="0"/>
        <w:jc w:val="both"/>
        <w:rPr>
          <w:rFonts w:ascii="Verdana" w:eastAsia="Times New Roman" w:hAnsi="Verdana" w:cs="Arial"/>
          <w:b/>
          <w:sz w:val="20"/>
          <w:szCs w:val="20"/>
          <w:lang w:val="es-ES" w:eastAsia="es-ES"/>
        </w:rPr>
      </w:pPr>
      <w:r w:rsidRPr="00653E80">
        <w:rPr>
          <w:rFonts w:ascii="Verdana" w:eastAsia="Times New Roman" w:hAnsi="Verdana" w:cs="Arial"/>
          <w:sz w:val="20"/>
          <w:szCs w:val="20"/>
          <w:lang w:val="es-ES_tradnl" w:eastAsia="es-ES"/>
        </w:rPr>
        <w:t xml:space="preserve">Los resultados de la medición de riesgos de mercado deben reportarse a la </w:t>
      </w:r>
      <w:r w:rsidRPr="00653E80">
        <w:rPr>
          <w:rFonts w:ascii="Verdana" w:eastAsia="Times New Roman" w:hAnsi="Verdana" w:cs="Arial"/>
          <w:bCs/>
          <w:sz w:val="20"/>
          <w:szCs w:val="20"/>
          <w:lang w:val="es-ES_tradnl" w:eastAsia="es-ES"/>
        </w:rPr>
        <w:t xml:space="preserve">SFC </w:t>
      </w:r>
      <w:r w:rsidRPr="00653E80">
        <w:rPr>
          <w:rFonts w:ascii="Verdana" w:eastAsia="Times New Roman" w:hAnsi="Verdana" w:cs="Arial"/>
          <w:sz w:val="20"/>
          <w:szCs w:val="20"/>
          <w:lang w:val="es-ES_tradnl" w:eastAsia="es-ES"/>
        </w:rPr>
        <w:t>con la periodicidad establecida en los formatos previstos para este propósito.</w:t>
      </w:r>
    </w:p>
    <w:p w14:paraId="10CF076E" w14:textId="33879CC0" w:rsidR="008C27C5" w:rsidRPr="00653E80" w:rsidRDefault="008C27C5" w:rsidP="00706C52">
      <w:pPr>
        <w:spacing w:after="0"/>
        <w:rPr>
          <w:rFonts w:ascii="Verdana" w:eastAsia="Times New Roman" w:hAnsi="Verdana" w:cs="Arial"/>
          <w:b/>
          <w:sz w:val="20"/>
          <w:szCs w:val="20"/>
          <w:lang w:val="es-ES" w:eastAsia="es-ES"/>
        </w:rPr>
      </w:pPr>
    </w:p>
    <w:p w14:paraId="07FAC736" w14:textId="77777777" w:rsidR="007A4231" w:rsidRDefault="007A4231" w:rsidP="0055785C">
      <w:pPr>
        <w:spacing w:after="0"/>
        <w:rPr>
          <w:rFonts w:ascii="Verdana" w:hAnsi="Verdana"/>
          <w:sz w:val="20"/>
          <w:szCs w:val="20"/>
        </w:rPr>
      </w:pPr>
    </w:p>
    <w:sectPr w:rsidR="007A4231" w:rsidSect="00097164">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5B2DD" w14:textId="77777777" w:rsidR="00097F4B" w:rsidRDefault="00097F4B" w:rsidP="00057BF6">
      <w:pPr>
        <w:spacing w:after="0" w:line="240" w:lineRule="auto"/>
      </w:pPr>
      <w:r>
        <w:separator/>
      </w:r>
    </w:p>
  </w:endnote>
  <w:endnote w:type="continuationSeparator" w:id="0">
    <w:p w14:paraId="523A31CF" w14:textId="77777777" w:rsidR="00097F4B" w:rsidRDefault="00097F4B" w:rsidP="00057BF6">
      <w:pPr>
        <w:spacing w:after="0" w:line="240" w:lineRule="auto"/>
      </w:pPr>
      <w:r>
        <w:continuationSeparator/>
      </w:r>
    </w:p>
  </w:endnote>
  <w:endnote w:type="continuationNotice" w:id="1">
    <w:p w14:paraId="12042CA9" w14:textId="77777777" w:rsidR="00097F4B" w:rsidRDefault="00097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2401F" w14:textId="77777777" w:rsidR="00097F4B" w:rsidRDefault="00097F4B" w:rsidP="00057BF6">
      <w:pPr>
        <w:spacing w:after="0" w:line="240" w:lineRule="auto"/>
      </w:pPr>
      <w:r>
        <w:separator/>
      </w:r>
    </w:p>
  </w:footnote>
  <w:footnote w:type="continuationSeparator" w:id="0">
    <w:p w14:paraId="12BB33FC" w14:textId="77777777" w:rsidR="00097F4B" w:rsidRDefault="00097F4B" w:rsidP="00057BF6">
      <w:pPr>
        <w:spacing w:after="0" w:line="240" w:lineRule="auto"/>
      </w:pPr>
      <w:r>
        <w:continuationSeparator/>
      </w:r>
    </w:p>
  </w:footnote>
  <w:footnote w:type="continuationNotice" w:id="1">
    <w:p w14:paraId="73669E8D" w14:textId="77777777" w:rsidR="00097F4B" w:rsidRDefault="00097F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31A18A8"/>
    <w:multiLevelType w:val="hybridMultilevel"/>
    <w:tmpl w:val="D0AE314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1114D2"/>
    <w:multiLevelType w:val="hybridMultilevel"/>
    <w:tmpl w:val="DDDAB8B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C5E3672"/>
    <w:multiLevelType w:val="hybridMultilevel"/>
    <w:tmpl w:val="BE2C1D6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E0A573A"/>
    <w:multiLevelType w:val="hybridMultilevel"/>
    <w:tmpl w:val="F3B2B01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E102FAE"/>
    <w:multiLevelType w:val="hybridMultilevel"/>
    <w:tmpl w:val="8806C778"/>
    <w:lvl w:ilvl="0" w:tplc="240A0015">
      <w:start w:val="1"/>
      <w:numFmt w:val="upperLetter"/>
      <w:lvlText w:val="%1."/>
      <w:lvlJc w:val="left"/>
      <w:pPr>
        <w:ind w:left="1080" w:hanging="72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E28EF"/>
    <w:multiLevelType w:val="hybridMultilevel"/>
    <w:tmpl w:val="D840A3D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3A438D1"/>
    <w:multiLevelType w:val="hybridMultilevel"/>
    <w:tmpl w:val="706C6894"/>
    <w:lvl w:ilvl="0" w:tplc="725A638A">
      <w:start w:val="1"/>
      <w:numFmt w:val="lowerLetter"/>
      <w:lvlText w:val="%1."/>
      <w:lvlJc w:val="left"/>
      <w:pPr>
        <w:ind w:left="1080" w:hanging="720"/>
      </w:pPr>
      <w:rPr>
        <w:rFonts w:ascii="Verdana" w:eastAsia="Times New Roman" w:hAnsi="Verdana"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276E01"/>
    <w:multiLevelType w:val="hybridMultilevel"/>
    <w:tmpl w:val="C220E09C"/>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9" w15:restartNumberingAfterBreak="0">
    <w:nsid w:val="18006DF5"/>
    <w:multiLevelType w:val="hybridMultilevel"/>
    <w:tmpl w:val="91C264EC"/>
    <w:lvl w:ilvl="0" w:tplc="108AEA06">
      <w:start w:val="1"/>
      <w:numFmt w:val="lowerRoman"/>
      <w:lvlText w:val="%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0" w15:restartNumberingAfterBreak="0">
    <w:nsid w:val="182C0BAA"/>
    <w:multiLevelType w:val="hybridMultilevel"/>
    <w:tmpl w:val="0FFEBE36"/>
    <w:lvl w:ilvl="0" w:tplc="240A0019">
      <w:start w:val="1"/>
      <w:numFmt w:val="lowerLetter"/>
      <w:lvlText w:val="%1."/>
      <w:lvlJc w:val="left"/>
      <w:pPr>
        <w:ind w:left="1080" w:hanging="72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94702A"/>
    <w:multiLevelType w:val="hybridMultilevel"/>
    <w:tmpl w:val="1DA22DE4"/>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9A51CA"/>
    <w:multiLevelType w:val="hybridMultilevel"/>
    <w:tmpl w:val="8BA236CE"/>
    <w:lvl w:ilvl="0" w:tplc="96E41A6C">
      <w:start w:val="1"/>
      <w:numFmt w:val="lowerRoman"/>
      <w:lvlText w:val="%1."/>
      <w:lvlJc w:val="left"/>
      <w:pPr>
        <w:ind w:left="1287" w:hanging="360"/>
      </w:pPr>
      <w:rPr>
        <w:rFonts w:ascii="Arial" w:eastAsia="Times New Roman" w:hAnsi="Arial" w:cs="Arial"/>
      </w:rPr>
    </w:lvl>
    <w:lvl w:ilvl="1" w:tplc="D5768FA8">
      <w:start w:val="1"/>
      <w:numFmt w:val="lowerLetter"/>
      <w:lvlText w:val="%2."/>
      <w:lvlJc w:val="left"/>
      <w:pPr>
        <w:ind w:left="2187" w:hanging="540"/>
      </w:pPr>
      <w:rPr>
        <w:rFonts w:hint="default"/>
      </w:r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3" w15:restartNumberingAfterBreak="0">
    <w:nsid w:val="2127147B"/>
    <w:multiLevelType w:val="hybridMultilevel"/>
    <w:tmpl w:val="C8864414"/>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4" w15:restartNumberingAfterBreak="0">
    <w:nsid w:val="23953A13"/>
    <w:multiLevelType w:val="hybridMultilevel"/>
    <w:tmpl w:val="07CEB28E"/>
    <w:lvl w:ilvl="0" w:tplc="240A0003">
      <w:start w:val="1"/>
      <w:numFmt w:val="bullet"/>
      <w:lvlText w:val="o"/>
      <w:lvlJc w:val="left"/>
      <w:pPr>
        <w:ind w:left="1287" w:hanging="360"/>
      </w:pPr>
      <w:rPr>
        <w:rFonts w:ascii="Courier New" w:hAnsi="Courier New" w:cs="Courier New"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5" w15:restartNumberingAfterBreak="0">
    <w:nsid w:val="23EA112E"/>
    <w:multiLevelType w:val="hybridMultilevel"/>
    <w:tmpl w:val="0312074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713DF5"/>
    <w:multiLevelType w:val="hybridMultilevel"/>
    <w:tmpl w:val="42CABA38"/>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7" w15:restartNumberingAfterBreak="0">
    <w:nsid w:val="2EFF2FBA"/>
    <w:multiLevelType w:val="hybridMultilevel"/>
    <w:tmpl w:val="7D4EABDE"/>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8" w15:restartNumberingAfterBreak="0">
    <w:nsid w:val="30DC2306"/>
    <w:multiLevelType w:val="hybridMultilevel"/>
    <w:tmpl w:val="2482E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0EB7203"/>
    <w:multiLevelType w:val="hybridMultilevel"/>
    <w:tmpl w:val="6E342EB0"/>
    <w:lvl w:ilvl="0" w:tplc="240A0019">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44D3B80"/>
    <w:multiLevelType w:val="hybridMultilevel"/>
    <w:tmpl w:val="C06438C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4A1378D"/>
    <w:multiLevelType w:val="hybridMultilevel"/>
    <w:tmpl w:val="C6F63F46"/>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354A1E9B"/>
    <w:multiLevelType w:val="hybridMultilevel"/>
    <w:tmpl w:val="ACC225F8"/>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3" w15:restartNumberingAfterBreak="0">
    <w:nsid w:val="3C1A68C9"/>
    <w:multiLevelType w:val="hybridMultilevel"/>
    <w:tmpl w:val="6E7047C0"/>
    <w:lvl w:ilvl="0" w:tplc="240A0015">
      <w:start w:val="1"/>
      <w:numFmt w:val="upp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7B02D4"/>
    <w:multiLevelType w:val="hybridMultilevel"/>
    <w:tmpl w:val="68A860F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441DAD"/>
    <w:multiLevelType w:val="hybridMultilevel"/>
    <w:tmpl w:val="F64E909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5CB4920"/>
    <w:multiLevelType w:val="hybridMultilevel"/>
    <w:tmpl w:val="11AA0B9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BA671B"/>
    <w:multiLevelType w:val="hybridMultilevel"/>
    <w:tmpl w:val="81D68F60"/>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C3A1691"/>
    <w:multiLevelType w:val="hybridMultilevel"/>
    <w:tmpl w:val="2BE43FA6"/>
    <w:lvl w:ilvl="0" w:tplc="240A0015">
      <w:start w:val="1"/>
      <w:numFmt w:val="upp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C40B1C"/>
    <w:multiLevelType w:val="hybridMultilevel"/>
    <w:tmpl w:val="0250391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3CE49E6"/>
    <w:multiLevelType w:val="hybridMultilevel"/>
    <w:tmpl w:val="91F606C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57418E9"/>
    <w:multiLevelType w:val="hybridMultilevel"/>
    <w:tmpl w:val="8606F59A"/>
    <w:lvl w:ilvl="0" w:tplc="240A0015">
      <w:start w:val="1"/>
      <w:numFmt w:val="upp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CA7A30"/>
    <w:multiLevelType w:val="hybridMultilevel"/>
    <w:tmpl w:val="8CC00FA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5DF63F0"/>
    <w:multiLevelType w:val="hybridMultilevel"/>
    <w:tmpl w:val="9C40E0C8"/>
    <w:lvl w:ilvl="0" w:tplc="240A0019">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66169A2"/>
    <w:multiLevelType w:val="hybridMultilevel"/>
    <w:tmpl w:val="870442D8"/>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5" w15:restartNumberingAfterBreak="0">
    <w:nsid w:val="677E122C"/>
    <w:multiLevelType w:val="hybridMultilevel"/>
    <w:tmpl w:val="1F3C9534"/>
    <w:lvl w:ilvl="0" w:tplc="240A0015">
      <w:start w:val="1"/>
      <w:numFmt w:val="upp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F4694F"/>
    <w:multiLevelType w:val="hybridMultilevel"/>
    <w:tmpl w:val="B700294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C3E4B10"/>
    <w:multiLevelType w:val="hybridMultilevel"/>
    <w:tmpl w:val="7890A6D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0E2D69"/>
    <w:multiLevelType w:val="hybridMultilevel"/>
    <w:tmpl w:val="C53E918C"/>
    <w:lvl w:ilvl="0" w:tplc="594876CE">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6F6B32DB"/>
    <w:multiLevelType w:val="hybridMultilevel"/>
    <w:tmpl w:val="88A0D0B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508142E"/>
    <w:multiLevelType w:val="hybridMultilevel"/>
    <w:tmpl w:val="9E54918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94E7FD2"/>
    <w:multiLevelType w:val="hybridMultilevel"/>
    <w:tmpl w:val="EE921D4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A960C7B"/>
    <w:multiLevelType w:val="hybridMultilevel"/>
    <w:tmpl w:val="B90EF70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BBD502F"/>
    <w:multiLevelType w:val="hybridMultilevel"/>
    <w:tmpl w:val="620257B6"/>
    <w:lvl w:ilvl="0" w:tplc="240A0019">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D086CDD"/>
    <w:multiLevelType w:val="hybridMultilevel"/>
    <w:tmpl w:val="8F007C2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F035F3B"/>
    <w:multiLevelType w:val="hybridMultilevel"/>
    <w:tmpl w:val="517684D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41"/>
  </w:num>
  <w:num w:numId="2" w16cid:durableId="1362513633">
    <w:abstractNumId w:val="0"/>
  </w:num>
  <w:num w:numId="3" w16cid:durableId="451560696">
    <w:abstractNumId w:val="38"/>
  </w:num>
  <w:num w:numId="4" w16cid:durableId="888224885">
    <w:abstractNumId w:val="45"/>
  </w:num>
  <w:num w:numId="5" w16cid:durableId="1800758933">
    <w:abstractNumId w:val="26"/>
  </w:num>
  <w:num w:numId="6" w16cid:durableId="780802893">
    <w:abstractNumId w:val="25"/>
  </w:num>
  <w:num w:numId="7" w16cid:durableId="1394038478">
    <w:abstractNumId w:val="1"/>
  </w:num>
  <w:num w:numId="8" w16cid:durableId="1166900783">
    <w:abstractNumId w:val="9"/>
  </w:num>
  <w:num w:numId="9" w16cid:durableId="1861120652">
    <w:abstractNumId w:val="5"/>
  </w:num>
  <w:num w:numId="10" w16cid:durableId="642468527">
    <w:abstractNumId w:val="34"/>
  </w:num>
  <w:num w:numId="11" w16cid:durableId="1415854577">
    <w:abstractNumId w:val="35"/>
  </w:num>
  <w:num w:numId="12" w16cid:durableId="1526016931">
    <w:abstractNumId w:val="21"/>
  </w:num>
  <w:num w:numId="13" w16cid:durableId="1768499553">
    <w:abstractNumId w:val="28"/>
  </w:num>
  <w:num w:numId="14" w16cid:durableId="1508447009">
    <w:abstractNumId w:val="8"/>
  </w:num>
  <w:num w:numId="15" w16cid:durableId="1423844178">
    <w:abstractNumId w:val="31"/>
  </w:num>
  <w:num w:numId="16" w16cid:durableId="85425642">
    <w:abstractNumId w:val="24"/>
  </w:num>
  <w:num w:numId="17" w16cid:durableId="8145227">
    <w:abstractNumId w:val="3"/>
  </w:num>
  <w:num w:numId="18" w16cid:durableId="1305088680">
    <w:abstractNumId w:val="39"/>
  </w:num>
  <w:num w:numId="19" w16cid:durableId="624891085">
    <w:abstractNumId w:val="23"/>
  </w:num>
  <w:num w:numId="20" w16cid:durableId="1999532287">
    <w:abstractNumId w:val="16"/>
  </w:num>
  <w:num w:numId="21" w16cid:durableId="8263100">
    <w:abstractNumId w:val="2"/>
  </w:num>
  <w:num w:numId="22" w16cid:durableId="1553496765">
    <w:abstractNumId w:val="7"/>
  </w:num>
  <w:num w:numId="23" w16cid:durableId="1988852159">
    <w:abstractNumId w:val="32"/>
  </w:num>
  <w:num w:numId="24" w16cid:durableId="56247151">
    <w:abstractNumId w:val="17"/>
  </w:num>
  <w:num w:numId="25" w16cid:durableId="373821127">
    <w:abstractNumId w:val="12"/>
  </w:num>
  <w:num w:numId="26" w16cid:durableId="950472574">
    <w:abstractNumId w:val="11"/>
  </w:num>
  <w:num w:numId="27" w16cid:durableId="422533162">
    <w:abstractNumId w:val="10"/>
  </w:num>
  <w:num w:numId="28" w16cid:durableId="1523401916">
    <w:abstractNumId w:val="44"/>
  </w:num>
  <w:num w:numId="29" w16cid:durableId="989479614">
    <w:abstractNumId w:val="19"/>
  </w:num>
  <w:num w:numId="30" w16cid:durableId="922763029">
    <w:abstractNumId w:val="33"/>
  </w:num>
  <w:num w:numId="31" w16cid:durableId="476845629">
    <w:abstractNumId w:val="27"/>
  </w:num>
  <w:num w:numId="32" w16cid:durableId="1908103248">
    <w:abstractNumId w:val="29"/>
  </w:num>
  <w:num w:numId="33" w16cid:durableId="110056990">
    <w:abstractNumId w:val="46"/>
  </w:num>
  <w:num w:numId="34" w16cid:durableId="939264876">
    <w:abstractNumId w:val="30"/>
  </w:num>
  <w:num w:numId="35" w16cid:durableId="58485835">
    <w:abstractNumId w:val="22"/>
  </w:num>
  <w:num w:numId="36" w16cid:durableId="287202107">
    <w:abstractNumId w:val="13"/>
  </w:num>
  <w:num w:numId="37" w16cid:durableId="1391424569">
    <w:abstractNumId w:val="40"/>
  </w:num>
  <w:num w:numId="38" w16cid:durableId="1849171252">
    <w:abstractNumId w:val="42"/>
  </w:num>
  <w:num w:numId="39" w16cid:durableId="1495291807">
    <w:abstractNumId w:val="18"/>
  </w:num>
  <w:num w:numId="40" w16cid:durableId="369766060">
    <w:abstractNumId w:val="20"/>
  </w:num>
  <w:num w:numId="41" w16cid:durableId="94833703">
    <w:abstractNumId w:val="6"/>
  </w:num>
  <w:num w:numId="42" w16cid:durableId="1710762771">
    <w:abstractNumId w:val="37"/>
  </w:num>
  <w:num w:numId="43" w16cid:durableId="571081136">
    <w:abstractNumId w:val="4"/>
  </w:num>
  <w:num w:numId="44" w16cid:durableId="1009136952">
    <w:abstractNumId w:val="36"/>
  </w:num>
  <w:num w:numId="45" w16cid:durableId="254217770">
    <w:abstractNumId w:val="15"/>
  </w:num>
  <w:num w:numId="46" w16cid:durableId="1143428253">
    <w:abstractNumId w:val="43"/>
  </w:num>
  <w:num w:numId="47" w16cid:durableId="1746956966">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7311"/>
    <w:rsid w:val="00007B3F"/>
    <w:rsid w:val="00011B41"/>
    <w:rsid w:val="00012AF6"/>
    <w:rsid w:val="00013E88"/>
    <w:rsid w:val="000215AE"/>
    <w:rsid w:val="000264F7"/>
    <w:rsid w:val="00032948"/>
    <w:rsid w:val="000426B5"/>
    <w:rsid w:val="000470A0"/>
    <w:rsid w:val="00051D53"/>
    <w:rsid w:val="00057BF6"/>
    <w:rsid w:val="0006736C"/>
    <w:rsid w:val="00073FAF"/>
    <w:rsid w:val="00082838"/>
    <w:rsid w:val="00083738"/>
    <w:rsid w:val="00086C6E"/>
    <w:rsid w:val="00095003"/>
    <w:rsid w:val="0009519F"/>
    <w:rsid w:val="00097164"/>
    <w:rsid w:val="00097F4B"/>
    <w:rsid w:val="000A028A"/>
    <w:rsid w:val="000A43C1"/>
    <w:rsid w:val="000A6622"/>
    <w:rsid w:val="000B41F1"/>
    <w:rsid w:val="000B7724"/>
    <w:rsid w:val="000C3943"/>
    <w:rsid w:val="000C686E"/>
    <w:rsid w:val="000D286F"/>
    <w:rsid w:val="000D6044"/>
    <w:rsid w:val="000E4B29"/>
    <w:rsid w:val="000E5806"/>
    <w:rsid w:val="001000CB"/>
    <w:rsid w:val="0010283F"/>
    <w:rsid w:val="00107A94"/>
    <w:rsid w:val="00110482"/>
    <w:rsid w:val="00110F42"/>
    <w:rsid w:val="00116F34"/>
    <w:rsid w:val="0011798D"/>
    <w:rsid w:val="00140925"/>
    <w:rsid w:val="00140D9C"/>
    <w:rsid w:val="00144478"/>
    <w:rsid w:val="0014645B"/>
    <w:rsid w:val="00147AAC"/>
    <w:rsid w:val="001576FB"/>
    <w:rsid w:val="00162080"/>
    <w:rsid w:val="00170FDA"/>
    <w:rsid w:val="00171EAE"/>
    <w:rsid w:val="0018287D"/>
    <w:rsid w:val="00183B65"/>
    <w:rsid w:val="0018555B"/>
    <w:rsid w:val="00186B0B"/>
    <w:rsid w:val="00187A95"/>
    <w:rsid w:val="00194D4D"/>
    <w:rsid w:val="001B25DD"/>
    <w:rsid w:val="001B26CE"/>
    <w:rsid w:val="001B5187"/>
    <w:rsid w:val="001B5C4B"/>
    <w:rsid w:val="001E13AA"/>
    <w:rsid w:val="001E473A"/>
    <w:rsid w:val="001E5EF1"/>
    <w:rsid w:val="001E608C"/>
    <w:rsid w:val="001F07AA"/>
    <w:rsid w:val="001F6D1F"/>
    <w:rsid w:val="00201E8D"/>
    <w:rsid w:val="00205E4E"/>
    <w:rsid w:val="0021666A"/>
    <w:rsid w:val="00217FC8"/>
    <w:rsid w:val="00221CD1"/>
    <w:rsid w:val="00223AD6"/>
    <w:rsid w:val="00227BEF"/>
    <w:rsid w:val="00231B48"/>
    <w:rsid w:val="00232B14"/>
    <w:rsid w:val="00233357"/>
    <w:rsid w:val="0024615B"/>
    <w:rsid w:val="00246D1B"/>
    <w:rsid w:val="002544FF"/>
    <w:rsid w:val="00271254"/>
    <w:rsid w:val="002744E7"/>
    <w:rsid w:val="002906B8"/>
    <w:rsid w:val="0029327D"/>
    <w:rsid w:val="00294B5E"/>
    <w:rsid w:val="0029676B"/>
    <w:rsid w:val="002974FB"/>
    <w:rsid w:val="002A24BB"/>
    <w:rsid w:val="002B20D3"/>
    <w:rsid w:val="002B4F4A"/>
    <w:rsid w:val="002C7D31"/>
    <w:rsid w:val="002E0871"/>
    <w:rsid w:val="002F3F94"/>
    <w:rsid w:val="002F5CF4"/>
    <w:rsid w:val="00310DCA"/>
    <w:rsid w:val="003162A4"/>
    <w:rsid w:val="003320F1"/>
    <w:rsid w:val="00340FC0"/>
    <w:rsid w:val="00346AD0"/>
    <w:rsid w:val="00356389"/>
    <w:rsid w:val="003639BF"/>
    <w:rsid w:val="0036407F"/>
    <w:rsid w:val="00374906"/>
    <w:rsid w:val="003754D5"/>
    <w:rsid w:val="00375F86"/>
    <w:rsid w:val="003769FF"/>
    <w:rsid w:val="00377843"/>
    <w:rsid w:val="003779A0"/>
    <w:rsid w:val="00385B5F"/>
    <w:rsid w:val="0038717E"/>
    <w:rsid w:val="00390786"/>
    <w:rsid w:val="00391EC9"/>
    <w:rsid w:val="00392072"/>
    <w:rsid w:val="003930ED"/>
    <w:rsid w:val="003936DB"/>
    <w:rsid w:val="003A2CBC"/>
    <w:rsid w:val="003A5CFE"/>
    <w:rsid w:val="003B10D2"/>
    <w:rsid w:val="003B6BE5"/>
    <w:rsid w:val="003C54E7"/>
    <w:rsid w:val="003C558F"/>
    <w:rsid w:val="003C62C4"/>
    <w:rsid w:val="003C7F92"/>
    <w:rsid w:val="003D7B29"/>
    <w:rsid w:val="003E4E69"/>
    <w:rsid w:val="003F630B"/>
    <w:rsid w:val="003F77D8"/>
    <w:rsid w:val="00401EB9"/>
    <w:rsid w:val="0040498E"/>
    <w:rsid w:val="00405030"/>
    <w:rsid w:val="00406D2B"/>
    <w:rsid w:val="0042132E"/>
    <w:rsid w:val="00423B7B"/>
    <w:rsid w:val="0043223D"/>
    <w:rsid w:val="004362B9"/>
    <w:rsid w:val="0045120A"/>
    <w:rsid w:val="004551F2"/>
    <w:rsid w:val="0047618D"/>
    <w:rsid w:val="00476B18"/>
    <w:rsid w:val="00490CD4"/>
    <w:rsid w:val="00496DBD"/>
    <w:rsid w:val="004B2506"/>
    <w:rsid w:val="004B382E"/>
    <w:rsid w:val="004B4AFA"/>
    <w:rsid w:val="004E2B9B"/>
    <w:rsid w:val="004E7C00"/>
    <w:rsid w:val="005024B6"/>
    <w:rsid w:val="0051192F"/>
    <w:rsid w:val="005165E4"/>
    <w:rsid w:val="005167D8"/>
    <w:rsid w:val="00533B1E"/>
    <w:rsid w:val="00544A86"/>
    <w:rsid w:val="00546473"/>
    <w:rsid w:val="0055401A"/>
    <w:rsid w:val="0055704A"/>
    <w:rsid w:val="0055785C"/>
    <w:rsid w:val="005644FD"/>
    <w:rsid w:val="00574D64"/>
    <w:rsid w:val="00583279"/>
    <w:rsid w:val="00590969"/>
    <w:rsid w:val="00591C01"/>
    <w:rsid w:val="00593186"/>
    <w:rsid w:val="00596B88"/>
    <w:rsid w:val="005A5B50"/>
    <w:rsid w:val="005A5B54"/>
    <w:rsid w:val="005A7344"/>
    <w:rsid w:val="005C3258"/>
    <w:rsid w:val="005E4060"/>
    <w:rsid w:val="00607A46"/>
    <w:rsid w:val="006134EB"/>
    <w:rsid w:val="0061423F"/>
    <w:rsid w:val="0064189B"/>
    <w:rsid w:val="006435D2"/>
    <w:rsid w:val="0064369E"/>
    <w:rsid w:val="00651306"/>
    <w:rsid w:val="00652AB7"/>
    <w:rsid w:val="00676CF4"/>
    <w:rsid w:val="0067711D"/>
    <w:rsid w:val="00684D72"/>
    <w:rsid w:val="00686EE0"/>
    <w:rsid w:val="00692E85"/>
    <w:rsid w:val="00695128"/>
    <w:rsid w:val="006A4A78"/>
    <w:rsid w:val="006B0F18"/>
    <w:rsid w:val="006B23B1"/>
    <w:rsid w:val="006E077A"/>
    <w:rsid w:val="006E1DD6"/>
    <w:rsid w:val="006F6399"/>
    <w:rsid w:val="00700B63"/>
    <w:rsid w:val="0070479A"/>
    <w:rsid w:val="007049B8"/>
    <w:rsid w:val="00704BFC"/>
    <w:rsid w:val="00705A58"/>
    <w:rsid w:val="00706C52"/>
    <w:rsid w:val="00714799"/>
    <w:rsid w:val="00715350"/>
    <w:rsid w:val="00721D02"/>
    <w:rsid w:val="00723C4A"/>
    <w:rsid w:val="0074096D"/>
    <w:rsid w:val="00747C09"/>
    <w:rsid w:val="00747CC9"/>
    <w:rsid w:val="00750360"/>
    <w:rsid w:val="007567EA"/>
    <w:rsid w:val="007626F4"/>
    <w:rsid w:val="00762B03"/>
    <w:rsid w:val="007714A8"/>
    <w:rsid w:val="00775B36"/>
    <w:rsid w:val="0078278D"/>
    <w:rsid w:val="00783151"/>
    <w:rsid w:val="007922E8"/>
    <w:rsid w:val="00793FF3"/>
    <w:rsid w:val="00797078"/>
    <w:rsid w:val="007A302E"/>
    <w:rsid w:val="007A4231"/>
    <w:rsid w:val="007C1E39"/>
    <w:rsid w:val="007C2177"/>
    <w:rsid w:val="007E6FF4"/>
    <w:rsid w:val="007F1E30"/>
    <w:rsid w:val="007F7C01"/>
    <w:rsid w:val="00803468"/>
    <w:rsid w:val="00807DAE"/>
    <w:rsid w:val="00813D86"/>
    <w:rsid w:val="0082329A"/>
    <w:rsid w:val="0082329B"/>
    <w:rsid w:val="00831004"/>
    <w:rsid w:val="0083428E"/>
    <w:rsid w:val="00835461"/>
    <w:rsid w:val="008360C4"/>
    <w:rsid w:val="00852731"/>
    <w:rsid w:val="008633DB"/>
    <w:rsid w:val="008668A1"/>
    <w:rsid w:val="008755D7"/>
    <w:rsid w:val="00877E0D"/>
    <w:rsid w:val="0088317B"/>
    <w:rsid w:val="00884230"/>
    <w:rsid w:val="008913E9"/>
    <w:rsid w:val="00891A0E"/>
    <w:rsid w:val="008B33F2"/>
    <w:rsid w:val="008B38E8"/>
    <w:rsid w:val="008B7A92"/>
    <w:rsid w:val="008C27C5"/>
    <w:rsid w:val="008C7681"/>
    <w:rsid w:val="008D6294"/>
    <w:rsid w:val="008D6E8F"/>
    <w:rsid w:val="008E4F66"/>
    <w:rsid w:val="008F183E"/>
    <w:rsid w:val="008F1B83"/>
    <w:rsid w:val="008F2DAC"/>
    <w:rsid w:val="008F40D7"/>
    <w:rsid w:val="009004E3"/>
    <w:rsid w:val="00903037"/>
    <w:rsid w:val="00913AD2"/>
    <w:rsid w:val="009362FD"/>
    <w:rsid w:val="00942A79"/>
    <w:rsid w:val="0094305A"/>
    <w:rsid w:val="00945732"/>
    <w:rsid w:val="00955C73"/>
    <w:rsid w:val="009566D3"/>
    <w:rsid w:val="00956EC8"/>
    <w:rsid w:val="009571FD"/>
    <w:rsid w:val="00965877"/>
    <w:rsid w:val="00966F58"/>
    <w:rsid w:val="0097178B"/>
    <w:rsid w:val="0097703B"/>
    <w:rsid w:val="00980B28"/>
    <w:rsid w:val="00983B83"/>
    <w:rsid w:val="00992ACB"/>
    <w:rsid w:val="009A2823"/>
    <w:rsid w:val="009B26D5"/>
    <w:rsid w:val="009B6D85"/>
    <w:rsid w:val="009C034E"/>
    <w:rsid w:val="009D1D58"/>
    <w:rsid w:val="009D4364"/>
    <w:rsid w:val="009D512F"/>
    <w:rsid w:val="009D5327"/>
    <w:rsid w:val="009D6127"/>
    <w:rsid w:val="009D62B6"/>
    <w:rsid w:val="009D665E"/>
    <w:rsid w:val="009F0741"/>
    <w:rsid w:val="00A02595"/>
    <w:rsid w:val="00A03E7F"/>
    <w:rsid w:val="00A0440A"/>
    <w:rsid w:val="00A2464C"/>
    <w:rsid w:val="00A41E5E"/>
    <w:rsid w:val="00A6440A"/>
    <w:rsid w:val="00A64594"/>
    <w:rsid w:val="00A64CAA"/>
    <w:rsid w:val="00A75570"/>
    <w:rsid w:val="00A85784"/>
    <w:rsid w:val="00A90FDE"/>
    <w:rsid w:val="00A9232C"/>
    <w:rsid w:val="00A94383"/>
    <w:rsid w:val="00A9484C"/>
    <w:rsid w:val="00AB4172"/>
    <w:rsid w:val="00AC4D32"/>
    <w:rsid w:val="00AC5A5B"/>
    <w:rsid w:val="00AD2667"/>
    <w:rsid w:val="00AD5148"/>
    <w:rsid w:val="00AD6C59"/>
    <w:rsid w:val="00AD7927"/>
    <w:rsid w:val="00AE27A7"/>
    <w:rsid w:val="00AF4281"/>
    <w:rsid w:val="00AF7DB5"/>
    <w:rsid w:val="00B01BA1"/>
    <w:rsid w:val="00B05266"/>
    <w:rsid w:val="00B108CF"/>
    <w:rsid w:val="00B13202"/>
    <w:rsid w:val="00B139D7"/>
    <w:rsid w:val="00B1409C"/>
    <w:rsid w:val="00B1620F"/>
    <w:rsid w:val="00B166CA"/>
    <w:rsid w:val="00B1711C"/>
    <w:rsid w:val="00B2244A"/>
    <w:rsid w:val="00B22C22"/>
    <w:rsid w:val="00B22DE3"/>
    <w:rsid w:val="00B2342A"/>
    <w:rsid w:val="00B30C3C"/>
    <w:rsid w:val="00B32A91"/>
    <w:rsid w:val="00B4229B"/>
    <w:rsid w:val="00B47C15"/>
    <w:rsid w:val="00B52737"/>
    <w:rsid w:val="00B5379A"/>
    <w:rsid w:val="00B54EFA"/>
    <w:rsid w:val="00B627C9"/>
    <w:rsid w:val="00B724BF"/>
    <w:rsid w:val="00B73F4F"/>
    <w:rsid w:val="00B844D5"/>
    <w:rsid w:val="00BA3584"/>
    <w:rsid w:val="00BB20B2"/>
    <w:rsid w:val="00BD2D16"/>
    <w:rsid w:val="00BD5682"/>
    <w:rsid w:val="00BD6301"/>
    <w:rsid w:val="00BD7D65"/>
    <w:rsid w:val="00BF17DF"/>
    <w:rsid w:val="00BF3827"/>
    <w:rsid w:val="00BF5143"/>
    <w:rsid w:val="00C071C9"/>
    <w:rsid w:val="00C1239E"/>
    <w:rsid w:val="00C17076"/>
    <w:rsid w:val="00C43C10"/>
    <w:rsid w:val="00C51094"/>
    <w:rsid w:val="00C512E5"/>
    <w:rsid w:val="00C5462A"/>
    <w:rsid w:val="00C55482"/>
    <w:rsid w:val="00C60DF1"/>
    <w:rsid w:val="00C65A5F"/>
    <w:rsid w:val="00C72984"/>
    <w:rsid w:val="00C73FD3"/>
    <w:rsid w:val="00C92357"/>
    <w:rsid w:val="00C96542"/>
    <w:rsid w:val="00C96B75"/>
    <w:rsid w:val="00CA09BB"/>
    <w:rsid w:val="00CA39D0"/>
    <w:rsid w:val="00CB446C"/>
    <w:rsid w:val="00CC0076"/>
    <w:rsid w:val="00CC3647"/>
    <w:rsid w:val="00CC6142"/>
    <w:rsid w:val="00CC6CDA"/>
    <w:rsid w:val="00CD2E39"/>
    <w:rsid w:val="00CD4C76"/>
    <w:rsid w:val="00CE1829"/>
    <w:rsid w:val="00CF0120"/>
    <w:rsid w:val="00CF2D28"/>
    <w:rsid w:val="00CF7CBF"/>
    <w:rsid w:val="00D079CB"/>
    <w:rsid w:val="00D4000A"/>
    <w:rsid w:val="00D455C1"/>
    <w:rsid w:val="00D52956"/>
    <w:rsid w:val="00D556B2"/>
    <w:rsid w:val="00D648C3"/>
    <w:rsid w:val="00D64FEC"/>
    <w:rsid w:val="00D65A8D"/>
    <w:rsid w:val="00D71B48"/>
    <w:rsid w:val="00D757BE"/>
    <w:rsid w:val="00D8588A"/>
    <w:rsid w:val="00D90013"/>
    <w:rsid w:val="00D92E76"/>
    <w:rsid w:val="00D95176"/>
    <w:rsid w:val="00D958C2"/>
    <w:rsid w:val="00D966B1"/>
    <w:rsid w:val="00D97129"/>
    <w:rsid w:val="00DA0C0E"/>
    <w:rsid w:val="00DA549C"/>
    <w:rsid w:val="00DA7E3D"/>
    <w:rsid w:val="00DB30AC"/>
    <w:rsid w:val="00DB3370"/>
    <w:rsid w:val="00DB5A7E"/>
    <w:rsid w:val="00DC1092"/>
    <w:rsid w:val="00DC17E7"/>
    <w:rsid w:val="00DC26F7"/>
    <w:rsid w:val="00DC5190"/>
    <w:rsid w:val="00DD2F76"/>
    <w:rsid w:val="00DE1D95"/>
    <w:rsid w:val="00DE21D0"/>
    <w:rsid w:val="00DE2863"/>
    <w:rsid w:val="00DE7AE7"/>
    <w:rsid w:val="00E00753"/>
    <w:rsid w:val="00E03CCC"/>
    <w:rsid w:val="00E17A7B"/>
    <w:rsid w:val="00E34219"/>
    <w:rsid w:val="00E36D12"/>
    <w:rsid w:val="00E4424A"/>
    <w:rsid w:val="00E46101"/>
    <w:rsid w:val="00E55AC4"/>
    <w:rsid w:val="00E604FF"/>
    <w:rsid w:val="00E61292"/>
    <w:rsid w:val="00E644A6"/>
    <w:rsid w:val="00E74B01"/>
    <w:rsid w:val="00E76B84"/>
    <w:rsid w:val="00E90989"/>
    <w:rsid w:val="00E9619A"/>
    <w:rsid w:val="00EA1340"/>
    <w:rsid w:val="00EA1531"/>
    <w:rsid w:val="00EB32FE"/>
    <w:rsid w:val="00EB3A51"/>
    <w:rsid w:val="00EC11A0"/>
    <w:rsid w:val="00EC5109"/>
    <w:rsid w:val="00ED1B68"/>
    <w:rsid w:val="00ED6B7C"/>
    <w:rsid w:val="00EE4151"/>
    <w:rsid w:val="00EE48A5"/>
    <w:rsid w:val="00F130A5"/>
    <w:rsid w:val="00F14847"/>
    <w:rsid w:val="00F14DA6"/>
    <w:rsid w:val="00F3273D"/>
    <w:rsid w:val="00F364CA"/>
    <w:rsid w:val="00F406A2"/>
    <w:rsid w:val="00F539EA"/>
    <w:rsid w:val="00F548A1"/>
    <w:rsid w:val="00F5717E"/>
    <w:rsid w:val="00F63A36"/>
    <w:rsid w:val="00F642B4"/>
    <w:rsid w:val="00F669A2"/>
    <w:rsid w:val="00F75CE5"/>
    <w:rsid w:val="00F81FCF"/>
    <w:rsid w:val="00F86831"/>
    <w:rsid w:val="00F8794C"/>
    <w:rsid w:val="00FA25E3"/>
    <w:rsid w:val="00FA2CFB"/>
    <w:rsid w:val="00FA71AE"/>
    <w:rsid w:val="00FC4812"/>
    <w:rsid w:val="00FC510E"/>
    <w:rsid w:val="00FC6EE5"/>
    <w:rsid w:val="00FD2EA9"/>
    <w:rsid w:val="00FD7F1B"/>
    <w:rsid w:val="00FE2807"/>
    <w:rsid w:val="00FE41A6"/>
    <w:rsid w:val="00FF095F"/>
    <w:rsid w:val="00FF2BD4"/>
    <w:rsid w:val="28FD80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0D57F9BB-2C87-4E0F-B4FC-985CA295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rsid w:val="004362B9"/>
    <w:rPr>
      <w:b/>
      <w:bCs/>
    </w:rPr>
  </w:style>
  <w:style w:type="character" w:customStyle="1" w:styleId="AsuntodelcomentarioCar">
    <w:name w:val="Asunto del comentario Car"/>
    <w:basedOn w:val="TextocomentarioCar"/>
    <w:link w:val="Asuntodelcomentario"/>
    <w:uiPriority w:val="99"/>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uiPriority w:val="99"/>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uiPriority w:val="99"/>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character" w:styleId="Textodelmarcadordeposicin">
    <w:name w:val="Placeholder Text"/>
    <w:basedOn w:val="Fuentedeprrafopredeter"/>
    <w:uiPriority w:val="99"/>
    <w:semiHidden/>
    <w:rsid w:val="006435D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982087AC-8F02-4668-A983-AB08BA1E0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FF0E48-35D5-4BAC-889B-383B8F140AA7}">
  <ds:schemaRefs>
    <ds:schemaRef ds:uri="http://purl.org/dc/elements/1.1/"/>
    <ds:schemaRef ds:uri="http://schemas.microsoft.com/office/2006/documentManagement/types"/>
    <ds:schemaRef ds:uri="http://www.w3.org/XML/1998/namespace"/>
    <ds:schemaRef ds:uri="http://purl.org/dc/dcmitype/"/>
    <ds:schemaRef ds:uri="http://schemas.microsoft.com/office/2006/metadata/properties"/>
    <ds:schemaRef ds:uri="9056d983-1374-4724-9f8d-2ef5b64379db"/>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15</Pages>
  <Words>6904</Words>
  <Characters>35422</Characters>
  <Application>Microsoft Office Word</Application>
  <DocSecurity>0</DocSecurity>
  <Lines>1106</Lines>
  <Paragraphs>522</Paragraphs>
  <ScaleCrop>false</ScaleCrop>
  <Company/>
  <LinksUpToDate>false</LinksUpToDate>
  <CharactersWithSpaces>41804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430</cp:revision>
  <dcterms:created xsi:type="dcterms:W3CDTF">2025-03-04T16:41:00Z</dcterms:created>
  <dcterms:modified xsi:type="dcterms:W3CDTF">2026-04-13T00:27:00Z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